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1"/>
        <w:gridCol w:w="6235"/>
      </w:tblGrid>
      <w:tr w:rsidR="00CF1125" w14:paraId="6F32E9F6" w14:textId="77777777" w:rsidTr="00AB406C">
        <w:trPr>
          <w:trHeight w:val="402"/>
        </w:trPr>
        <w:tc>
          <w:tcPr>
            <w:tcW w:w="3731" w:type="dxa"/>
          </w:tcPr>
          <w:p w14:paraId="1FEECBAD" w14:textId="77777777" w:rsidR="00CF1125" w:rsidRPr="00CF1125" w:rsidRDefault="00CF1125" w:rsidP="00CF1125">
            <w:pPr>
              <w:jc w:val="center"/>
              <w:rPr>
                <w:b/>
                <w:bCs/>
              </w:rPr>
            </w:pPr>
            <w:r w:rsidRPr="00CF1125">
              <w:rPr>
                <w:b/>
                <w:bCs/>
              </w:rPr>
              <w:t>HỘI ĐỒNG NHÂN DÂN</w:t>
            </w:r>
          </w:p>
          <w:p w14:paraId="13089A13" w14:textId="6C16B753" w:rsidR="00CF1125" w:rsidRPr="00CF1125" w:rsidRDefault="00C001E1" w:rsidP="00CF1125">
            <w:pPr>
              <w:jc w:val="center"/>
              <w:rPr>
                <w:b/>
                <w:bCs/>
              </w:rPr>
            </w:pPr>
            <w:r>
              <w:rPr>
                <w:b/>
                <w:bCs/>
                <w:noProof/>
              </w:rPr>
              <mc:AlternateContent>
                <mc:Choice Requires="wps">
                  <w:drawing>
                    <wp:anchor distT="0" distB="0" distL="114300" distR="114300" simplePos="0" relativeHeight="251659264" behindDoc="0" locked="0" layoutInCell="1" allowOverlap="1" wp14:anchorId="6BB5B9D6" wp14:editId="5B4B1FFB">
                      <wp:simplePos x="0" y="0"/>
                      <wp:positionH relativeFrom="column">
                        <wp:posOffset>691515</wp:posOffset>
                      </wp:positionH>
                      <wp:positionV relativeFrom="paragraph">
                        <wp:posOffset>218440</wp:posOffset>
                      </wp:positionV>
                      <wp:extent cx="692150" cy="0"/>
                      <wp:effectExtent l="5715" t="8890" r="698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583DF" id="_x0000_t32" coordsize="21600,21600" o:spt="32" o:oned="t" path="m,l21600,21600e" filled="f">
                      <v:path arrowok="t" fillok="f" o:connecttype="none"/>
                      <o:lock v:ext="edit" shapetype="t"/>
                    </v:shapetype>
                    <v:shape id="AutoShape 3" o:spid="_x0000_s1026" type="#_x0000_t32" style="position:absolute;margin-left:54.45pt;margin-top:17.2pt;width: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iT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4W42wK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"/>
                  </w:pict>
                </mc:Fallback>
              </mc:AlternateContent>
            </w:r>
            <w:r w:rsidR="00CF1125" w:rsidRPr="00CF1125">
              <w:rPr>
                <w:b/>
                <w:bCs/>
              </w:rPr>
              <w:t>TỈNH CAO BẰNG</w:t>
            </w:r>
          </w:p>
        </w:tc>
        <w:tc>
          <w:tcPr>
            <w:tcW w:w="6235" w:type="dxa"/>
          </w:tcPr>
          <w:p w14:paraId="5E26B110" w14:textId="77777777" w:rsidR="00CF1125" w:rsidRPr="00CF1125" w:rsidRDefault="00CF1125" w:rsidP="00CF1125">
            <w:pPr>
              <w:jc w:val="center"/>
              <w:rPr>
                <w:b/>
                <w:bCs/>
              </w:rPr>
            </w:pPr>
            <w:r w:rsidRPr="00CF1125">
              <w:rPr>
                <w:b/>
                <w:bCs/>
              </w:rPr>
              <w:t>CỘNG HÀO XÃ HỘI CHỦ NGHĨA VIỆT NAM</w:t>
            </w:r>
          </w:p>
          <w:p w14:paraId="594395D6" w14:textId="170B9CFA" w:rsidR="00CF1125" w:rsidRPr="00CF1125" w:rsidRDefault="00CF1125" w:rsidP="00CF1125">
            <w:pPr>
              <w:jc w:val="center"/>
              <w:rPr>
                <w:b/>
                <w:bCs/>
              </w:rPr>
            </w:pPr>
            <w:r w:rsidRPr="00CF1125">
              <w:rPr>
                <w:b/>
                <w:bCs/>
              </w:rPr>
              <w:t>Độc lập -</w:t>
            </w:r>
            <w:r w:rsidR="00CF07D6">
              <w:rPr>
                <w:b/>
                <w:bCs/>
              </w:rPr>
              <w:t xml:space="preserve"> </w:t>
            </w:r>
            <w:r w:rsidRPr="00CF1125">
              <w:rPr>
                <w:b/>
                <w:bCs/>
              </w:rPr>
              <w:t>Tự do -</w:t>
            </w:r>
            <w:r w:rsidR="00CF07D6">
              <w:rPr>
                <w:b/>
                <w:bCs/>
              </w:rPr>
              <w:t xml:space="preserve"> </w:t>
            </w:r>
            <w:r w:rsidRPr="00CF1125">
              <w:rPr>
                <w:b/>
                <w:bCs/>
              </w:rPr>
              <w:t>Hạnh phúc</w:t>
            </w:r>
          </w:p>
          <w:p w14:paraId="4C0B7922" w14:textId="05713DD0" w:rsidR="00CF1125" w:rsidRPr="00CF1125" w:rsidRDefault="00CF07D6" w:rsidP="00CF1125">
            <w:pPr>
              <w:jc w:val="center"/>
              <w:rPr>
                <w:b/>
                <w:bCs/>
              </w:rPr>
            </w:pPr>
            <w:r>
              <w:rPr>
                <w:b/>
                <w:bCs/>
                <w:noProof/>
              </w:rPr>
              <mc:AlternateContent>
                <mc:Choice Requires="wps">
                  <w:drawing>
                    <wp:anchor distT="0" distB="0" distL="114300" distR="114300" simplePos="0" relativeHeight="251661312" behindDoc="0" locked="0" layoutInCell="1" allowOverlap="1" wp14:anchorId="645D0A36" wp14:editId="412F3629">
                      <wp:simplePos x="0" y="0"/>
                      <wp:positionH relativeFrom="column">
                        <wp:posOffset>869977</wp:posOffset>
                      </wp:positionH>
                      <wp:positionV relativeFrom="paragraph">
                        <wp:posOffset>34400</wp:posOffset>
                      </wp:positionV>
                      <wp:extent cx="2083241"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2083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34542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5pt,2.7pt" to="232.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" strokecolor="black [3200]" strokeweight=".5pt">
                      <v:stroke joinstyle="miter"/>
                    </v:line>
                  </w:pict>
                </mc:Fallback>
              </mc:AlternateContent>
            </w:r>
          </w:p>
        </w:tc>
      </w:tr>
      <w:tr w:rsidR="00CF1125" w14:paraId="1A377EEF" w14:textId="77777777" w:rsidTr="00AB406C">
        <w:trPr>
          <w:trHeight w:val="385"/>
        </w:trPr>
        <w:tc>
          <w:tcPr>
            <w:tcW w:w="3731" w:type="dxa"/>
          </w:tcPr>
          <w:p w14:paraId="0F466FB1" w14:textId="1D89F782" w:rsidR="00CF1125" w:rsidRPr="00CF1125" w:rsidRDefault="00CF1125" w:rsidP="00CF07D6">
            <w:pPr>
              <w:jc w:val="center"/>
              <w:rPr>
                <w:sz w:val="26"/>
                <w:szCs w:val="20"/>
              </w:rPr>
            </w:pPr>
            <w:r w:rsidRPr="00CF1125">
              <w:rPr>
                <w:sz w:val="26"/>
                <w:szCs w:val="20"/>
              </w:rPr>
              <w:t xml:space="preserve">Số:   </w:t>
            </w:r>
            <w:r>
              <w:rPr>
                <w:sz w:val="26"/>
                <w:szCs w:val="20"/>
              </w:rPr>
              <w:t xml:space="preserve">    </w:t>
            </w:r>
            <w:r w:rsidRPr="00CF1125">
              <w:rPr>
                <w:sz w:val="26"/>
                <w:szCs w:val="20"/>
              </w:rPr>
              <w:t xml:space="preserve"> /2025/NQ-HĐND</w:t>
            </w:r>
          </w:p>
        </w:tc>
        <w:tc>
          <w:tcPr>
            <w:tcW w:w="6235" w:type="dxa"/>
          </w:tcPr>
          <w:p w14:paraId="1C378D61" w14:textId="38EADD24" w:rsidR="00CF1125" w:rsidRPr="00CF1125" w:rsidRDefault="00CF1125" w:rsidP="00CF07D6">
            <w:pPr>
              <w:jc w:val="center"/>
              <w:rPr>
                <w:i/>
                <w:iCs/>
                <w:sz w:val="26"/>
                <w:szCs w:val="20"/>
              </w:rPr>
            </w:pPr>
            <w:r w:rsidRPr="00CF1125">
              <w:rPr>
                <w:i/>
                <w:iCs/>
                <w:sz w:val="26"/>
                <w:szCs w:val="20"/>
              </w:rPr>
              <w:t xml:space="preserve">Cao Bằng, ngày  </w:t>
            </w:r>
            <w:r w:rsidR="00CF07D6">
              <w:rPr>
                <w:i/>
                <w:iCs/>
                <w:sz w:val="26"/>
                <w:szCs w:val="20"/>
              </w:rPr>
              <w:t xml:space="preserve">  </w:t>
            </w:r>
            <w:r>
              <w:rPr>
                <w:i/>
                <w:iCs/>
                <w:sz w:val="26"/>
                <w:szCs w:val="20"/>
              </w:rPr>
              <w:t xml:space="preserve"> </w:t>
            </w:r>
            <w:r w:rsidRPr="00CF1125">
              <w:rPr>
                <w:i/>
                <w:iCs/>
                <w:sz w:val="26"/>
                <w:szCs w:val="20"/>
              </w:rPr>
              <w:t xml:space="preserve">  tháng  </w:t>
            </w:r>
            <w:r>
              <w:rPr>
                <w:i/>
                <w:iCs/>
                <w:sz w:val="26"/>
                <w:szCs w:val="20"/>
              </w:rPr>
              <w:t xml:space="preserve"> </w:t>
            </w:r>
            <w:r w:rsidRPr="00CF1125">
              <w:rPr>
                <w:i/>
                <w:iCs/>
                <w:sz w:val="26"/>
                <w:szCs w:val="20"/>
              </w:rPr>
              <w:t xml:space="preserve">  năm 2025</w:t>
            </w:r>
          </w:p>
        </w:tc>
      </w:tr>
    </w:tbl>
    <w:p w14:paraId="5C831A07" w14:textId="272DE391" w:rsidR="00B0433C" w:rsidRDefault="000A74DA">
      <w:r>
        <w:rPr>
          <w:noProof/>
        </w:rPr>
        <mc:AlternateContent>
          <mc:Choice Requires="wps">
            <w:drawing>
              <wp:anchor distT="0" distB="0" distL="114300" distR="114300" simplePos="0" relativeHeight="251663360" behindDoc="0" locked="0" layoutInCell="1" allowOverlap="1" wp14:anchorId="268005BF" wp14:editId="76A7CCF9">
                <wp:simplePos x="0" y="0"/>
                <wp:positionH relativeFrom="column">
                  <wp:posOffset>-515591</wp:posOffset>
                </wp:positionH>
                <wp:positionV relativeFrom="paragraph">
                  <wp:posOffset>203117</wp:posOffset>
                </wp:positionV>
                <wp:extent cx="795130" cy="294198"/>
                <wp:effectExtent l="0" t="0" r="24130" b="10795"/>
                <wp:wrapNone/>
                <wp:docPr id="1" name="Text Box 1"/>
                <wp:cNvGraphicFramePr/>
                <a:graphic xmlns:a="http://schemas.openxmlformats.org/drawingml/2006/main">
                  <a:graphicData uri="http://schemas.microsoft.com/office/word/2010/wordprocessingShape">
                    <wps:wsp>
                      <wps:cNvSpPr txBox="1"/>
                      <wps:spPr>
                        <a:xfrm>
                          <a:off x="0" y="0"/>
                          <a:ext cx="795130" cy="294198"/>
                        </a:xfrm>
                        <a:prstGeom prst="rect">
                          <a:avLst/>
                        </a:prstGeom>
                        <a:solidFill>
                          <a:schemeClr val="lt1"/>
                        </a:solidFill>
                        <a:ln w="6350">
                          <a:solidFill>
                            <a:prstClr val="black"/>
                          </a:solidFill>
                        </a:ln>
                      </wps:spPr>
                      <wps:txbx>
                        <w:txbxContent>
                          <w:p w14:paraId="279F0A0D" w14:textId="35E9F241" w:rsidR="000A74DA" w:rsidRDefault="000A74DA" w:rsidP="000A74DA">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8005BF" id="_x0000_t202" coordsize="21600,21600" o:spt="202" path="m,l,21600r21600,l21600,xe">
                <v:stroke joinstyle="miter"/>
                <v:path gradientshapeok="t" o:connecttype="rect"/>
              </v:shapetype>
              <v:shape id="Text Box 1" o:spid="_x0000_s1026" type="#_x0000_t202" style="position:absolute;margin-left:-40.6pt;margin-top:16pt;width:62.6pt;height:23.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" fillcolor="white [3201]" strokeweight=".5pt">
                <v:textbox>
                  <w:txbxContent>
                    <w:p w14:paraId="279F0A0D" w14:textId="35E9F241" w:rsidR="000A74DA" w:rsidRDefault="000A74DA" w:rsidP="000A74DA">
                      <w:pPr>
                        <w:jc w:val="center"/>
                      </w:pPr>
                      <w:r>
                        <w:t>Dự thảo</w:t>
                      </w:r>
                    </w:p>
                  </w:txbxContent>
                </v:textbox>
              </v:shape>
            </w:pict>
          </mc:Fallback>
        </mc:AlternateContent>
      </w:r>
    </w:p>
    <w:p w14:paraId="19D718E9" w14:textId="77777777" w:rsidR="00AB406C" w:rsidRDefault="00AB406C" w:rsidP="00CF1125">
      <w:pPr>
        <w:spacing w:after="0" w:line="240" w:lineRule="auto"/>
        <w:jc w:val="center"/>
        <w:rPr>
          <w:b/>
          <w:bCs/>
        </w:rPr>
      </w:pPr>
    </w:p>
    <w:p w14:paraId="0EF4613A" w14:textId="77777777" w:rsidR="0028532B" w:rsidRDefault="00CF1125" w:rsidP="0028532B">
      <w:pPr>
        <w:spacing w:after="0" w:line="240" w:lineRule="auto"/>
        <w:jc w:val="center"/>
        <w:rPr>
          <w:b/>
          <w:bCs/>
        </w:rPr>
      </w:pPr>
      <w:r w:rsidRPr="00CF1125">
        <w:rPr>
          <w:b/>
          <w:bCs/>
        </w:rPr>
        <w:t>NGHỊ QUYẾT</w:t>
      </w:r>
    </w:p>
    <w:p w14:paraId="77018D4E" w14:textId="77777777" w:rsidR="00FE4E59" w:rsidRDefault="00CF1125" w:rsidP="0028532B">
      <w:pPr>
        <w:spacing w:after="0" w:line="240" w:lineRule="auto"/>
        <w:jc w:val="center"/>
        <w:rPr>
          <w:b/>
          <w:bCs/>
        </w:rPr>
      </w:pPr>
      <w:r w:rsidRPr="00CF1125">
        <w:rPr>
          <w:b/>
          <w:bCs/>
        </w:rPr>
        <w:t>Quy định về chế độ nhuận bút, thù lao đối với các sản phẩm</w:t>
      </w:r>
    </w:p>
    <w:p w14:paraId="29C39BF6" w14:textId="61EF6E77" w:rsidR="00CF1125" w:rsidRDefault="00CF1125" w:rsidP="00FE4E59">
      <w:pPr>
        <w:spacing w:after="0" w:line="240" w:lineRule="auto"/>
        <w:jc w:val="center"/>
        <w:rPr>
          <w:b/>
          <w:bCs/>
        </w:rPr>
      </w:pPr>
      <w:r w:rsidRPr="00CF1125">
        <w:rPr>
          <w:b/>
          <w:bCs/>
        </w:rPr>
        <w:t xml:space="preserve"> truyền thông</w:t>
      </w:r>
      <w:r w:rsidR="00FE4E59">
        <w:rPr>
          <w:b/>
          <w:bCs/>
        </w:rPr>
        <w:t xml:space="preserve"> </w:t>
      </w:r>
      <w:r w:rsidRPr="00CF1125">
        <w:rPr>
          <w:b/>
          <w:bCs/>
        </w:rPr>
        <w:t>cấp xã trên địa bàn tỉnh Cao Bằng</w:t>
      </w:r>
    </w:p>
    <w:p w14:paraId="3463BF3B" w14:textId="2183A06F" w:rsidR="00C71903" w:rsidRDefault="0028532B" w:rsidP="00CF1125">
      <w:pPr>
        <w:spacing w:after="0" w:line="240" w:lineRule="auto"/>
        <w:jc w:val="center"/>
        <w:rPr>
          <w:b/>
          <w:bCs/>
        </w:rPr>
      </w:pPr>
      <w:r>
        <w:rPr>
          <w:b/>
          <w:bCs/>
          <w:noProof/>
        </w:rPr>
        <mc:AlternateContent>
          <mc:Choice Requires="wps">
            <w:drawing>
              <wp:anchor distT="0" distB="0" distL="114300" distR="114300" simplePos="0" relativeHeight="251662336" behindDoc="0" locked="0" layoutInCell="1" allowOverlap="1" wp14:anchorId="51AE8E9A" wp14:editId="6F1D0E5F">
                <wp:simplePos x="0" y="0"/>
                <wp:positionH relativeFrom="column">
                  <wp:posOffset>2266315</wp:posOffset>
                </wp:positionH>
                <wp:positionV relativeFrom="paragraph">
                  <wp:posOffset>25069</wp:posOffset>
                </wp:positionV>
                <wp:extent cx="1359673" cy="0"/>
                <wp:effectExtent l="0" t="0" r="31115" b="19050"/>
                <wp:wrapNone/>
                <wp:docPr id="5" name="Straight Connector 5"/>
                <wp:cNvGraphicFramePr/>
                <a:graphic xmlns:a="http://schemas.openxmlformats.org/drawingml/2006/main">
                  <a:graphicData uri="http://schemas.microsoft.com/office/word/2010/wordprocessingShape">
                    <wps:wsp>
                      <wps:cNvCnPr/>
                      <wps:spPr>
                        <a:xfrm>
                          <a:off x="0" y="0"/>
                          <a:ext cx="13596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E417E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8.45pt,1.95pt" to="28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" strokecolor="black [3200]" strokeweight=".5pt">
                <v:stroke joinstyle="miter"/>
              </v:line>
            </w:pict>
          </mc:Fallback>
        </mc:AlternateContent>
      </w:r>
    </w:p>
    <w:p w14:paraId="6EDDD244" w14:textId="77777777" w:rsidR="00C71903" w:rsidRDefault="00C71903" w:rsidP="00CF1125">
      <w:pPr>
        <w:spacing w:after="0" w:line="240" w:lineRule="auto"/>
        <w:jc w:val="center"/>
        <w:rPr>
          <w:b/>
          <w:bCs/>
        </w:rPr>
      </w:pPr>
    </w:p>
    <w:p w14:paraId="38316AB0" w14:textId="77777777" w:rsidR="00C71903" w:rsidRDefault="00C71903" w:rsidP="002A41CC">
      <w:pPr>
        <w:spacing w:before="120" w:after="120" w:line="288" w:lineRule="auto"/>
        <w:ind w:left="720"/>
        <w:jc w:val="both"/>
        <w:rPr>
          <w:i/>
          <w:iCs/>
        </w:rPr>
      </w:pPr>
      <w:r w:rsidRPr="00C71903">
        <w:rPr>
          <w:i/>
          <w:iCs/>
        </w:rPr>
        <w:t xml:space="preserve">Căn cứ Luật Tổ </w:t>
      </w:r>
      <w:r w:rsidRPr="00840481">
        <w:rPr>
          <w:i/>
          <w:iCs/>
        </w:rPr>
        <w:t>chức chính quyền địa phương ngày 16 tháng 6 năm 2025;</w:t>
      </w:r>
    </w:p>
    <w:p w14:paraId="105D9E9A" w14:textId="74EB84D9" w:rsidR="00C71903" w:rsidRDefault="001D6C4C" w:rsidP="002A41CC">
      <w:pPr>
        <w:spacing w:before="120" w:after="120" w:line="288" w:lineRule="auto"/>
        <w:ind w:firstLine="567"/>
        <w:jc w:val="both"/>
        <w:rPr>
          <w:i/>
          <w:iCs/>
        </w:rPr>
      </w:pPr>
      <w:r>
        <w:rPr>
          <w:i/>
          <w:iCs/>
        </w:rPr>
        <w:t xml:space="preserve">  </w:t>
      </w:r>
      <w:r w:rsidR="00C71903" w:rsidRPr="00C71903">
        <w:rPr>
          <w:i/>
          <w:iCs/>
        </w:rPr>
        <w:t>Căn cứ Luật Ngân sách nhà nước ngày 25 tháng 6 năm 2015;</w:t>
      </w:r>
    </w:p>
    <w:p w14:paraId="438A290A" w14:textId="77777777" w:rsidR="00C71903" w:rsidRDefault="00C71903" w:rsidP="002A41CC">
      <w:pPr>
        <w:spacing w:before="120" w:after="120" w:line="288" w:lineRule="auto"/>
        <w:ind w:firstLine="720"/>
        <w:jc w:val="both"/>
        <w:rPr>
          <w:i/>
          <w:iCs/>
        </w:rPr>
      </w:pPr>
      <w:r w:rsidRPr="00C71903">
        <w:rPr>
          <w:i/>
          <w:iCs/>
        </w:rPr>
        <w:t>Căn cứ Nghị định số 18/2014/NĐ-CP ngày 14 tháng 3 năm 2014 của Chính phủ</w:t>
      </w:r>
      <w:r>
        <w:rPr>
          <w:i/>
          <w:iCs/>
        </w:rPr>
        <w:t xml:space="preserve"> </w:t>
      </w:r>
      <w:r w:rsidRPr="00C71903">
        <w:rPr>
          <w:i/>
          <w:iCs/>
        </w:rPr>
        <w:t>quy định về chế độ nhuận bút trong lĩnh vực báo chí, xuất bản;</w:t>
      </w:r>
    </w:p>
    <w:p w14:paraId="0256C876" w14:textId="77777777" w:rsidR="00C71903" w:rsidRDefault="00C71903" w:rsidP="002A41CC">
      <w:pPr>
        <w:spacing w:before="120" w:after="120" w:line="288" w:lineRule="auto"/>
        <w:ind w:firstLine="720"/>
        <w:jc w:val="both"/>
        <w:rPr>
          <w:i/>
          <w:iCs/>
        </w:rPr>
      </w:pPr>
      <w:r w:rsidRPr="00C71903">
        <w:rPr>
          <w:i/>
          <w:iCs/>
        </w:rPr>
        <w:t>Căn cứ Nghị định số 163/2016/NĐ-CP ngày 21 tháng 12 năm 2016 của</w:t>
      </w:r>
      <w:r w:rsidRPr="00C71903">
        <w:rPr>
          <w:i/>
          <w:iCs/>
        </w:rPr>
        <w:br/>
        <w:t>Chính phủ quy định chi tiết thi hành một số điều của Luật Ngân sách nhà nước;</w:t>
      </w:r>
    </w:p>
    <w:p w14:paraId="613DB00B" w14:textId="6A27DDD2" w:rsidR="00C71903" w:rsidRDefault="00C71903" w:rsidP="002A41CC">
      <w:pPr>
        <w:spacing w:before="120" w:after="120" w:line="288" w:lineRule="auto"/>
        <w:ind w:firstLine="720"/>
        <w:jc w:val="both"/>
        <w:rPr>
          <w:i/>
          <w:iCs/>
        </w:rPr>
      </w:pPr>
      <w:r w:rsidRPr="00C71903">
        <w:rPr>
          <w:i/>
          <w:iCs/>
        </w:rPr>
        <w:t>Căn cứ Nghị định số 49/2024/NĐ-CP ngày 10 tháng 5 năm 2024 của Chính phủ</w:t>
      </w:r>
      <w:r>
        <w:rPr>
          <w:i/>
          <w:iCs/>
        </w:rPr>
        <w:t xml:space="preserve"> </w:t>
      </w:r>
      <w:r w:rsidRPr="00C71903">
        <w:rPr>
          <w:i/>
          <w:iCs/>
        </w:rPr>
        <w:t>quy định về hoạt động thông tin cơ sở;</w:t>
      </w:r>
    </w:p>
    <w:p w14:paraId="29BB1EFE" w14:textId="43D3EF64" w:rsidR="00C71903" w:rsidRDefault="00C71903" w:rsidP="002A41CC">
      <w:pPr>
        <w:spacing w:before="120" w:after="120" w:line="288" w:lineRule="auto"/>
        <w:ind w:firstLine="720"/>
        <w:jc w:val="both"/>
        <w:rPr>
          <w:i/>
          <w:iCs/>
        </w:rPr>
      </w:pPr>
      <w:r>
        <w:rPr>
          <w:i/>
          <w:iCs/>
        </w:rPr>
        <w:t xml:space="preserve">Xét </w:t>
      </w:r>
      <w:r w:rsidR="0028532B">
        <w:rPr>
          <w:i/>
          <w:iCs/>
        </w:rPr>
        <w:t>T</w:t>
      </w:r>
      <w:r>
        <w:rPr>
          <w:i/>
          <w:iCs/>
        </w:rPr>
        <w:t>ờ trình số     /TTr-UBDN ngày    tháng   năm 2025 của Uỷ ban nhân dân tỉnh Cao Bằng; Báo cáo thẩm tra của Ban Văn hoá</w:t>
      </w:r>
      <w:r w:rsidR="0028532B">
        <w:rPr>
          <w:i/>
          <w:iCs/>
        </w:rPr>
        <w:t xml:space="preserve"> </w:t>
      </w:r>
      <w:r>
        <w:rPr>
          <w:i/>
          <w:iCs/>
        </w:rPr>
        <w:t>-</w:t>
      </w:r>
      <w:r w:rsidR="0028532B">
        <w:rPr>
          <w:i/>
          <w:iCs/>
        </w:rPr>
        <w:t xml:space="preserve"> </w:t>
      </w:r>
      <w:r>
        <w:rPr>
          <w:i/>
          <w:iCs/>
        </w:rPr>
        <w:t>Xã hội Hội đồng nhân dân tỉnh</w:t>
      </w:r>
      <w:r w:rsidR="000526D0">
        <w:rPr>
          <w:i/>
          <w:iCs/>
        </w:rPr>
        <w:t>; ý kiến thảo luận của đại biểu Hội đồng nhân dân tỉnh tại kỳ họp;</w:t>
      </w:r>
    </w:p>
    <w:p w14:paraId="256F823D" w14:textId="7499F179" w:rsidR="000526D0" w:rsidRDefault="000526D0" w:rsidP="002A41CC">
      <w:pPr>
        <w:spacing w:before="120" w:after="120" w:line="288" w:lineRule="auto"/>
        <w:ind w:firstLine="720"/>
        <w:jc w:val="both"/>
        <w:rPr>
          <w:i/>
          <w:iCs/>
        </w:rPr>
      </w:pPr>
      <w:r>
        <w:rPr>
          <w:i/>
          <w:iCs/>
        </w:rPr>
        <w:t>Hội đồng nhân dân ban hành Nghị quyết quy định về chế độ nhuận bút, thù lao đối với các sản phẩm truyền thông của cấp xã trên địa bàn tỉnh Cao Bằng.</w:t>
      </w:r>
    </w:p>
    <w:p w14:paraId="4A3C753A" w14:textId="13DB46A1" w:rsidR="000526D0" w:rsidRDefault="000526D0" w:rsidP="002A41CC">
      <w:pPr>
        <w:spacing w:before="120" w:after="120" w:line="288" w:lineRule="auto"/>
        <w:ind w:firstLine="720"/>
        <w:jc w:val="both"/>
        <w:rPr>
          <w:b/>
          <w:bCs/>
        </w:rPr>
      </w:pPr>
      <w:r w:rsidRPr="000526D0">
        <w:rPr>
          <w:b/>
          <w:bCs/>
        </w:rPr>
        <w:t>Điều 1. Phạm vi điều chỉnh và đối tượng áp dụng</w:t>
      </w:r>
    </w:p>
    <w:p w14:paraId="14FF6298" w14:textId="10BF2D4A" w:rsidR="000526D0" w:rsidRPr="00EF2FC7" w:rsidRDefault="000526D0" w:rsidP="002A41CC">
      <w:pPr>
        <w:spacing w:before="120" w:after="120" w:line="288" w:lineRule="auto"/>
        <w:ind w:firstLine="720"/>
        <w:jc w:val="both"/>
      </w:pPr>
      <w:r w:rsidRPr="00EF2FC7">
        <w:t>1. Phạm vi điều chỉnh</w:t>
      </w:r>
      <w:r w:rsidR="0061005D">
        <w:t>:</w:t>
      </w:r>
    </w:p>
    <w:p w14:paraId="78357619" w14:textId="0160687F" w:rsidR="000526D0" w:rsidRDefault="000526D0" w:rsidP="002A41CC">
      <w:pPr>
        <w:spacing w:before="120" w:after="120" w:line="288" w:lineRule="auto"/>
        <w:ind w:firstLine="720"/>
        <w:jc w:val="both"/>
      </w:pPr>
      <w:r w:rsidRPr="000526D0">
        <w:t>Nghị quyết này quy định cụ thể chế độ nhuận bút, thù lao đối với các sản</w:t>
      </w:r>
      <w:r w:rsidRPr="000526D0">
        <w:br/>
        <w:t xml:space="preserve">phẩm truyền thông của cấp xã trên địa bàn tỉnh </w:t>
      </w:r>
      <w:r>
        <w:t>Cao Bằng</w:t>
      </w:r>
      <w:r w:rsidRPr="000526D0">
        <w:t>.</w:t>
      </w:r>
    </w:p>
    <w:p w14:paraId="43EC1611" w14:textId="11392071" w:rsidR="000526D0" w:rsidRPr="00EF2FC7" w:rsidRDefault="000526D0" w:rsidP="002A41CC">
      <w:pPr>
        <w:spacing w:before="120" w:after="120" w:line="288" w:lineRule="auto"/>
        <w:ind w:firstLine="720"/>
        <w:jc w:val="both"/>
      </w:pPr>
      <w:r w:rsidRPr="00EF2FC7">
        <w:t>2. Đối tượng áp dụng</w:t>
      </w:r>
      <w:r w:rsidR="0061005D">
        <w:t>:</w:t>
      </w:r>
    </w:p>
    <w:p w14:paraId="5DB21027" w14:textId="77777777" w:rsidR="000526D0" w:rsidRDefault="000526D0" w:rsidP="002A41CC">
      <w:pPr>
        <w:spacing w:before="120" w:after="120" w:line="288" w:lineRule="auto"/>
        <w:ind w:firstLine="720"/>
        <w:jc w:val="both"/>
      </w:pPr>
      <w:r w:rsidRPr="000526D0">
        <w:t>a) Đối tượng được hưởng nhuận bút: Tác giả, chủ sở hữu quyền tác giả sản</w:t>
      </w:r>
      <w:r w:rsidRPr="000526D0">
        <w:br/>
        <w:t>phẩm truyền thông của cấp xã.</w:t>
      </w:r>
    </w:p>
    <w:p w14:paraId="44F8EE1E" w14:textId="77777777" w:rsidR="000526D0" w:rsidRDefault="000526D0" w:rsidP="002A41CC">
      <w:pPr>
        <w:spacing w:before="120" w:after="120" w:line="288" w:lineRule="auto"/>
        <w:ind w:firstLine="720"/>
        <w:jc w:val="both"/>
      </w:pPr>
      <w:r w:rsidRPr="000526D0">
        <w:t>b) Đối tượng được hưởng thù lao: Người thực hiện công việc có liên quan</w:t>
      </w:r>
      <w:r w:rsidRPr="000526D0">
        <w:br/>
        <w:t>đến sản phẩm truyền thông của cấp xã.</w:t>
      </w:r>
    </w:p>
    <w:p w14:paraId="2299F3F5" w14:textId="10AD95C5" w:rsidR="000526D0" w:rsidRDefault="000526D0" w:rsidP="002A41CC">
      <w:pPr>
        <w:spacing w:before="120" w:after="120" w:line="288" w:lineRule="auto"/>
        <w:ind w:firstLine="720"/>
        <w:jc w:val="both"/>
      </w:pPr>
      <w:r w:rsidRPr="000526D0">
        <w:lastRenderedPageBreak/>
        <w:t>c) Cơ quan, tổ chức, cá nhân có liên quan đến sản phẩm truyền thông</w:t>
      </w:r>
      <w:r w:rsidRPr="000526D0">
        <w:br/>
        <w:t>của cấp xã.</w:t>
      </w:r>
    </w:p>
    <w:p w14:paraId="41BC9496" w14:textId="77777777" w:rsidR="007B7F69" w:rsidRDefault="007B7F69" w:rsidP="002A41CC">
      <w:pPr>
        <w:spacing w:before="120" w:after="120" w:line="288" w:lineRule="auto"/>
        <w:ind w:firstLine="720"/>
        <w:jc w:val="both"/>
        <w:rPr>
          <w:b/>
          <w:bCs/>
        </w:rPr>
      </w:pPr>
      <w:r w:rsidRPr="007B7F69">
        <w:rPr>
          <w:b/>
          <w:bCs/>
        </w:rPr>
        <w:t>Điều 2. Giải thích từ ngữ</w:t>
      </w:r>
    </w:p>
    <w:p w14:paraId="644A2D4D" w14:textId="29F54151" w:rsidR="007B7F69" w:rsidRDefault="007B7F69" w:rsidP="002A41CC">
      <w:pPr>
        <w:spacing w:before="120" w:after="120" w:line="288" w:lineRule="auto"/>
        <w:ind w:firstLine="720"/>
        <w:jc w:val="both"/>
      </w:pPr>
      <w:r w:rsidRPr="007B7F69">
        <w:t>1. Nhuận bút là khoản tiền do bên sử dụng tác phẩm trả cho tác giả hoặc chủ</w:t>
      </w:r>
      <w:r w:rsidR="00080963">
        <w:t xml:space="preserve"> </w:t>
      </w:r>
      <w:r w:rsidRPr="007B7F69">
        <w:t>sở hữu quyền tác giả khi các sản phẩm truyền thông được sử dụng.</w:t>
      </w:r>
    </w:p>
    <w:p w14:paraId="7B6150FD" w14:textId="1B1DFDBB" w:rsidR="007B7F69" w:rsidRDefault="007B7F69" w:rsidP="002A41CC">
      <w:pPr>
        <w:spacing w:before="120" w:after="120" w:line="288" w:lineRule="auto"/>
        <w:ind w:firstLine="720"/>
        <w:jc w:val="both"/>
      </w:pPr>
      <w:r w:rsidRPr="007B7F69">
        <w:t>2. Quỹ nhuận bút là khoản tiền do Ủy ban nhân dân cấp xã trích lập theo dự</w:t>
      </w:r>
      <w:r w:rsidR="00080963">
        <w:t xml:space="preserve"> </w:t>
      </w:r>
      <w:r w:rsidRPr="007B7F69">
        <w:t>toán được giao để chi trả nhuận bút, thù lao.</w:t>
      </w:r>
    </w:p>
    <w:p w14:paraId="6F278694" w14:textId="625FD279" w:rsidR="007B7F69" w:rsidRDefault="007B7F69" w:rsidP="002A41CC">
      <w:pPr>
        <w:spacing w:before="120" w:after="120" w:line="288" w:lineRule="auto"/>
        <w:ind w:firstLine="720"/>
        <w:jc w:val="both"/>
      </w:pPr>
      <w:r w:rsidRPr="007B7F69">
        <w:t>3. Thù lao là khoản tiền do bên sử dụng sản phẩm truyền thông trả cho người</w:t>
      </w:r>
      <w:r w:rsidR="00EC7198">
        <w:t xml:space="preserve"> </w:t>
      </w:r>
      <w:r w:rsidRPr="007B7F69">
        <w:t>thực hiện công việc có liên quan đến sản phẩm truyền thông theo quy định tại</w:t>
      </w:r>
      <w:r w:rsidR="00EC7198">
        <w:t xml:space="preserve"> </w:t>
      </w:r>
      <w:r w:rsidRPr="007B7F69">
        <w:t>Nghị quyết này.</w:t>
      </w:r>
    </w:p>
    <w:p w14:paraId="17DF4498" w14:textId="77777777" w:rsidR="007B7F69" w:rsidRDefault="007B7F69" w:rsidP="002A41CC">
      <w:pPr>
        <w:spacing w:before="120" w:after="120" w:line="288" w:lineRule="auto"/>
        <w:ind w:firstLine="720"/>
        <w:jc w:val="both"/>
        <w:rPr>
          <w:b/>
          <w:bCs/>
        </w:rPr>
      </w:pPr>
      <w:r w:rsidRPr="007B7F69">
        <w:rPr>
          <w:b/>
          <w:bCs/>
        </w:rPr>
        <w:t>Điều 3. Những quy định chung về trả nhuận bút, thù lao</w:t>
      </w:r>
    </w:p>
    <w:p w14:paraId="3B9DD17B" w14:textId="77777777" w:rsidR="007B7F69" w:rsidRDefault="007B7F69" w:rsidP="002A41CC">
      <w:pPr>
        <w:spacing w:before="120" w:after="120" w:line="288" w:lineRule="auto"/>
        <w:ind w:firstLine="720"/>
        <w:jc w:val="both"/>
      </w:pPr>
      <w:r w:rsidRPr="007B7F69">
        <w:t>1. Mức nhuận bút, thù lao trả cho tác giả hoặc chủ sở hữu quyền tác giả và</w:t>
      </w:r>
      <w:r w:rsidRPr="007B7F69">
        <w:br/>
        <w:t>những người tham gia thực hiện các công việc liên quan đến sản phẩm truyền</w:t>
      </w:r>
      <w:r w:rsidRPr="007B7F69">
        <w:br/>
        <w:t>thông căn cứ vào thể loại, chất lượng tác phẩm, mức độ đóng góp vào tác phẩm.</w:t>
      </w:r>
      <w:r w:rsidRPr="007B7F69">
        <w:br/>
        <w:t>Mức nhuận bút của tác giả không thấp hơn mức thù lao của người tham gia công</w:t>
      </w:r>
      <w:r w:rsidRPr="007B7F69">
        <w:br/>
        <w:t>việc có liên quan đến sản phẩm truyền thông cùng thể loại.</w:t>
      </w:r>
    </w:p>
    <w:p w14:paraId="58AB97C5" w14:textId="06DCA025" w:rsidR="007B7F69" w:rsidRDefault="007B7F69" w:rsidP="002A41CC">
      <w:pPr>
        <w:spacing w:before="120" w:after="120" w:line="288" w:lineRule="auto"/>
        <w:ind w:firstLine="720"/>
        <w:jc w:val="both"/>
      </w:pPr>
      <w:r w:rsidRPr="007B7F69">
        <w:t>2. Đối với các sản phẩm truyền thông liên quan đến tiếng dân tộc thiểu số,</w:t>
      </w:r>
      <w:r w:rsidRPr="007B7F69">
        <w:br/>
        <w:t>chữ nổi phục vụ người khuyết tật: áp dụng mức chi trả nhuận bút bằng 1,5 lần so</w:t>
      </w:r>
      <w:r w:rsidRPr="007B7F69">
        <w:br/>
        <w:t>với mức nhuận bút quy định tạ</w:t>
      </w:r>
      <w:r w:rsidR="008D17DF">
        <w:t xml:space="preserve">i </w:t>
      </w:r>
      <w:r w:rsidR="00A51B4F">
        <w:t>k</w:t>
      </w:r>
      <w:r w:rsidR="008D17DF">
        <w:t>hoản</w:t>
      </w:r>
      <w:r w:rsidRPr="007B7F69">
        <w:t xml:space="preserve"> 1 Điều này.</w:t>
      </w:r>
    </w:p>
    <w:p w14:paraId="69E35722" w14:textId="3BA6E43F" w:rsidR="007B7F69" w:rsidRDefault="007B7F69" w:rsidP="002A41CC">
      <w:pPr>
        <w:spacing w:before="120" w:after="120" w:line="288" w:lineRule="auto"/>
        <w:ind w:firstLine="720"/>
        <w:jc w:val="both"/>
      </w:pPr>
      <w:r w:rsidRPr="007B7F69">
        <w:t>3. Mức chi thù lao đối với người thực hiện công việc có liên quan đến sản</w:t>
      </w:r>
      <w:r w:rsidRPr="007B7F69">
        <w:br/>
        <w:t>phẩm được đăng, phát sóng trên hệ thống thông tin cơ sở cấp xã bằng 30% mức</w:t>
      </w:r>
      <w:r w:rsidRPr="007B7F69">
        <w:br/>
        <w:t>chi nhuận bút quy định tại khoản 1 Điều này</w:t>
      </w:r>
      <w:r>
        <w:t>.</w:t>
      </w:r>
    </w:p>
    <w:p w14:paraId="4C9ECAA1" w14:textId="77777777" w:rsidR="007B7F69" w:rsidRDefault="007B7F69" w:rsidP="002A41CC">
      <w:pPr>
        <w:spacing w:before="120" w:after="120" w:line="288" w:lineRule="auto"/>
        <w:ind w:firstLine="720"/>
        <w:jc w:val="both"/>
        <w:rPr>
          <w:b/>
          <w:bCs/>
        </w:rPr>
      </w:pPr>
      <w:r w:rsidRPr="007B7F69">
        <w:rPr>
          <w:b/>
          <w:bCs/>
        </w:rPr>
        <w:t>Điều 4. Quy định về sản phẩm truyền thông cấp xã</w:t>
      </w:r>
    </w:p>
    <w:p w14:paraId="3892BFA7" w14:textId="77777777" w:rsidR="007B7F69" w:rsidRDefault="007B7F69" w:rsidP="002A41CC">
      <w:pPr>
        <w:spacing w:before="120" w:after="120" w:line="288" w:lineRule="auto"/>
        <w:ind w:firstLine="720"/>
        <w:jc w:val="both"/>
      </w:pPr>
      <w:r w:rsidRPr="007B7F69">
        <w:t>1. Các chương trình phát thanh do đài truyền thanh cấp xã tự sản xuất.</w:t>
      </w:r>
    </w:p>
    <w:p w14:paraId="3D3B7DA4" w14:textId="0629E688" w:rsidR="007B7F69" w:rsidRDefault="007B7F69" w:rsidP="002A41CC">
      <w:pPr>
        <w:spacing w:before="120" w:after="120" w:line="288" w:lineRule="auto"/>
        <w:ind w:firstLine="720"/>
        <w:jc w:val="both"/>
      </w:pPr>
      <w:r w:rsidRPr="007B7F69">
        <w:t>2. Tin, ảnh, bài viết, đồ họa đăng trên bản tin thông tin cơ sở</w:t>
      </w:r>
      <w:r w:rsidR="000F33C4">
        <w:t xml:space="preserve">, trang thông tin </w:t>
      </w:r>
      <w:r w:rsidRPr="007B7F69">
        <w:t>điện tử và bảng tin công cộng.</w:t>
      </w:r>
    </w:p>
    <w:p w14:paraId="65FD00E2" w14:textId="47B0BABE" w:rsidR="007B7F69" w:rsidRDefault="007B7F69" w:rsidP="002A41CC">
      <w:pPr>
        <w:spacing w:before="120" w:after="120" w:line="288" w:lineRule="auto"/>
        <w:ind w:firstLine="720"/>
        <w:jc w:val="both"/>
      </w:pPr>
      <w:r w:rsidRPr="007B7F69">
        <w:t>3. Tài liệu không kinh doanh phục vụ hoạt động thông tin cơ sở được xuất</w:t>
      </w:r>
      <w:r w:rsidRPr="007B7F69">
        <w:br/>
        <w:t>bản theo các hình thức: Sách in, sách chữ nổi, tờ rời, tờ gấp, tranh, ảnh, áp phích,</w:t>
      </w:r>
      <w:r w:rsidRPr="007B7F69">
        <w:br/>
        <w:t>bản ghi âm, ghi hình có nội dung thay sách hoặc minh họa cho sách</w:t>
      </w:r>
      <w:r>
        <w:t>.</w:t>
      </w:r>
    </w:p>
    <w:p w14:paraId="3BFA4CC4" w14:textId="77777777" w:rsidR="007B7F69" w:rsidRDefault="007B7F69" w:rsidP="002A41CC">
      <w:pPr>
        <w:spacing w:before="120" w:after="120" w:line="288" w:lineRule="auto"/>
        <w:ind w:firstLine="720"/>
        <w:jc w:val="both"/>
        <w:rPr>
          <w:b/>
          <w:bCs/>
        </w:rPr>
      </w:pPr>
      <w:r w:rsidRPr="007B7F69">
        <w:rPr>
          <w:b/>
          <w:bCs/>
        </w:rPr>
        <w:t>Điều 5. Nguyên tắc chi trả nhuận bút, thù lao</w:t>
      </w:r>
    </w:p>
    <w:p w14:paraId="79399B5C" w14:textId="07C884FE" w:rsidR="007B7F69" w:rsidRDefault="007B7F69" w:rsidP="002A41CC">
      <w:pPr>
        <w:spacing w:before="120" w:after="120" w:line="288" w:lineRule="auto"/>
        <w:ind w:firstLine="720"/>
        <w:jc w:val="both"/>
      </w:pPr>
      <w:r>
        <w:t xml:space="preserve">1. </w:t>
      </w:r>
      <w:r w:rsidRPr="007B7F69">
        <w:t>Đối với sản phẩm đồng tác giả, tỷ lệ phân chia nhuận bút do các tác giả</w:t>
      </w:r>
      <w:r w:rsidRPr="007B7F69">
        <w:br/>
        <w:t>thỏa thuận có sự tham gia của bên sử dụng sản phẩm.</w:t>
      </w:r>
    </w:p>
    <w:p w14:paraId="6FE5E196" w14:textId="610C2230" w:rsidR="0018148A" w:rsidRDefault="007B7F69" w:rsidP="002A41CC">
      <w:pPr>
        <w:spacing w:before="120" w:after="120" w:line="288" w:lineRule="auto"/>
        <w:ind w:firstLine="720"/>
        <w:jc w:val="both"/>
      </w:pPr>
      <w:r w:rsidRPr="007B7F69">
        <w:lastRenderedPageBreak/>
        <w:t>2. Sản phẩm sử dụng nhiều lần hưởng nhuận bút theo thỏa thuận.</w:t>
      </w:r>
    </w:p>
    <w:p w14:paraId="235FB03F" w14:textId="2557967A" w:rsidR="007B7F69" w:rsidRDefault="007B7F69" w:rsidP="002A41CC">
      <w:pPr>
        <w:spacing w:before="120" w:after="120" w:line="288" w:lineRule="auto"/>
        <w:ind w:firstLine="720"/>
        <w:jc w:val="both"/>
      </w:pPr>
      <w:r w:rsidRPr="007B7F69">
        <w:t>3. Thủ trưởng cơ quan, đơn vị căn cứ vào quỹ nhuận bút, chất lượng, thể loại,</w:t>
      </w:r>
      <w:r w:rsidR="00EC7198">
        <w:t xml:space="preserve"> </w:t>
      </w:r>
      <w:r w:rsidRPr="007B7F69">
        <w:t>khung hệ số nhuận bút quyết định mức chi nhuận bút cho từng thể loại sản phẩm</w:t>
      </w:r>
      <w:r w:rsidR="00EC7198">
        <w:t xml:space="preserve"> </w:t>
      </w:r>
      <w:r w:rsidRPr="007B7F69">
        <w:t>truyền thông nhưng không vượt quá hệ số tối đa tại khung nhuận bút quy định</w:t>
      </w:r>
      <w:r w:rsidR="00EC7198">
        <w:t xml:space="preserve"> </w:t>
      </w:r>
      <w:r w:rsidRPr="007B7F69">
        <w:t xml:space="preserve"> tại</w:t>
      </w:r>
      <w:r w:rsidR="00EC7198">
        <w:t xml:space="preserve"> </w:t>
      </w:r>
      <w:r w:rsidRPr="007B7F69">
        <w:t xml:space="preserve">khoản 1 Điều </w:t>
      </w:r>
      <w:r w:rsidR="000F33C4">
        <w:t>6</w:t>
      </w:r>
      <w:r w:rsidR="0018148A">
        <w:t>.</w:t>
      </w:r>
    </w:p>
    <w:p w14:paraId="5101F966" w14:textId="77777777" w:rsidR="0018148A" w:rsidRDefault="0018148A" w:rsidP="002A41CC">
      <w:pPr>
        <w:spacing w:before="120" w:after="120" w:line="288" w:lineRule="auto"/>
        <w:ind w:firstLine="720"/>
        <w:jc w:val="both"/>
        <w:rPr>
          <w:b/>
          <w:bCs/>
        </w:rPr>
      </w:pPr>
      <w:r w:rsidRPr="0018148A">
        <w:rPr>
          <w:b/>
          <w:bCs/>
        </w:rPr>
        <w:t>Điều 6. Nhuận bút, thù lao đối với sản phẩm truyền thông cấp xã</w:t>
      </w:r>
    </w:p>
    <w:p w14:paraId="6F02617E" w14:textId="6A441DE8" w:rsidR="0018148A" w:rsidRDefault="0018148A" w:rsidP="002A41CC">
      <w:pPr>
        <w:pStyle w:val="oancuaDanhsach"/>
        <w:numPr>
          <w:ilvl w:val="0"/>
          <w:numId w:val="2"/>
        </w:numPr>
        <w:spacing w:before="120" w:after="120" w:line="288" w:lineRule="auto"/>
        <w:jc w:val="both"/>
      </w:pPr>
      <w:r w:rsidRPr="0018148A">
        <w:t>Khung nhuận bút cho sản phẩm truyền thông được quy định như sau:</w:t>
      </w:r>
    </w:p>
    <w:tbl>
      <w:tblPr>
        <w:tblStyle w:val="LiBang"/>
        <w:tblW w:w="0" w:type="auto"/>
        <w:tblLook w:val="04A0" w:firstRow="1" w:lastRow="0" w:firstColumn="1" w:lastColumn="0" w:noHBand="0" w:noVBand="1"/>
      </w:tblPr>
      <w:tblGrid>
        <w:gridCol w:w="590"/>
        <w:gridCol w:w="5701"/>
        <w:gridCol w:w="2770"/>
      </w:tblGrid>
      <w:tr w:rsidR="0018148A" w14:paraId="5D90BE39" w14:textId="77777777" w:rsidTr="00680F1C">
        <w:tc>
          <w:tcPr>
            <w:tcW w:w="590" w:type="dxa"/>
          </w:tcPr>
          <w:p w14:paraId="48CDC605" w14:textId="724123F6" w:rsidR="0018148A" w:rsidRPr="0018148A" w:rsidRDefault="0018148A" w:rsidP="008C6498">
            <w:pPr>
              <w:jc w:val="center"/>
              <w:rPr>
                <w:b/>
                <w:bCs/>
              </w:rPr>
            </w:pPr>
            <w:r w:rsidRPr="0018148A">
              <w:rPr>
                <w:b/>
                <w:bCs/>
              </w:rPr>
              <w:t>TT</w:t>
            </w:r>
          </w:p>
        </w:tc>
        <w:tc>
          <w:tcPr>
            <w:tcW w:w="5701" w:type="dxa"/>
          </w:tcPr>
          <w:p w14:paraId="193279A6" w14:textId="1A5909E6" w:rsidR="0018148A" w:rsidRPr="0018148A" w:rsidRDefault="0018148A" w:rsidP="008C6498">
            <w:pPr>
              <w:jc w:val="center"/>
              <w:rPr>
                <w:b/>
                <w:bCs/>
              </w:rPr>
            </w:pPr>
            <w:r w:rsidRPr="0018148A">
              <w:rPr>
                <w:b/>
                <w:bCs/>
              </w:rPr>
              <w:t>Thể loại</w:t>
            </w:r>
          </w:p>
        </w:tc>
        <w:tc>
          <w:tcPr>
            <w:tcW w:w="2770" w:type="dxa"/>
          </w:tcPr>
          <w:p w14:paraId="407181E3" w14:textId="76E64DF5" w:rsidR="0018148A" w:rsidRPr="0018148A" w:rsidRDefault="0018148A" w:rsidP="008C6498">
            <w:pPr>
              <w:jc w:val="center"/>
              <w:rPr>
                <w:b/>
                <w:bCs/>
              </w:rPr>
            </w:pPr>
            <w:r w:rsidRPr="0018148A">
              <w:rPr>
                <w:b/>
                <w:bCs/>
              </w:rPr>
              <w:t>Hệ số tối đa</w:t>
            </w:r>
          </w:p>
        </w:tc>
      </w:tr>
      <w:tr w:rsidR="0018148A" w14:paraId="221A6AC5" w14:textId="77777777" w:rsidTr="00680F1C">
        <w:tc>
          <w:tcPr>
            <w:tcW w:w="590" w:type="dxa"/>
            <w:vAlign w:val="center"/>
          </w:tcPr>
          <w:p w14:paraId="14DE8BF8" w14:textId="7535FA8F" w:rsidR="0018148A" w:rsidRDefault="0018148A" w:rsidP="008C6498">
            <w:pPr>
              <w:jc w:val="center"/>
            </w:pPr>
            <w:r>
              <w:t>1</w:t>
            </w:r>
          </w:p>
        </w:tc>
        <w:tc>
          <w:tcPr>
            <w:tcW w:w="5701" w:type="dxa"/>
            <w:vAlign w:val="center"/>
          </w:tcPr>
          <w:p w14:paraId="27F91545" w14:textId="77777777" w:rsidR="0018148A" w:rsidRDefault="0018148A" w:rsidP="008C6498">
            <w:pPr>
              <w:jc w:val="both"/>
            </w:pPr>
            <w:r>
              <w:t>Tin</w:t>
            </w:r>
          </w:p>
          <w:p w14:paraId="38AC54DA" w14:textId="12E7ACD4" w:rsidR="00597D09" w:rsidRDefault="00597D09" w:rsidP="008C6498">
            <w:pPr>
              <w:jc w:val="both"/>
            </w:pPr>
            <w:r>
              <w:t>Trả lời phản ánh, kiến nghị của tổ chức, cá nhân</w:t>
            </w:r>
          </w:p>
        </w:tc>
        <w:tc>
          <w:tcPr>
            <w:tcW w:w="2770" w:type="dxa"/>
            <w:vAlign w:val="center"/>
          </w:tcPr>
          <w:p w14:paraId="46400C08" w14:textId="0A47B10F" w:rsidR="0018148A" w:rsidRDefault="00597D09" w:rsidP="00680F1C">
            <w:pPr>
              <w:jc w:val="center"/>
            </w:pPr>
            <w:r>
              <w:t>1</w:t>
            </w:r>
          </w:p>
        </w:tc>
      </w:tr>
      <w:tr w:rsidR="0018148A" w14:paraId="2A5F6299" w14:textId="77777777" w:rsidTr="00680F1C">
        <w:tc>
          <w:tcPr>
            <w:tcW w:w="590" w:type="dxa"/>
            <w:vAlign w:val="center"/>
          </w:tcPr>
          <w:p w14:paraId="6A7ED591" w14:textId="6CAFC0A7" w:rsidR="0018148A" w:rsidRDefault="00597D09" w:rsidP="008C6498">
            <w:pPr>
              <w:jc w:val="center"/>
            </w:pPr>
            <w:r>
              <w:t>2</w:t>
            </w:r>
          </w:p>
        </w:tc>
        <w:tc>
          <w:tcPr>
            <w:tcW w:w="5701" w:type="dxa"/>
            <w:vAlign w:val="center"/>
          </w:tcPr>
          <w:p w14:paraId="1ED3F8E4" w14:textId="3D54727E" w:rsidR="0018148A" w:rsidRDefault="00597D09" w:rsidP="008C6498">
            <w:pPr>
              <w:jc w:val="both"/>
            </w:pPr>
            <w:r>
              <w:t>Tranh - Ảnh</w:t>
            </w:r>
          </w:p>
        </w:tc>
        <w:tc>
          <w:tcPr>
            <w:tcW w:w="2770" w:type="dxa"/>
            <w:vAlign w:val="center"/>
          </w:tcPr>
          <w:p w14:paraId="44FFF4CE" w14:textId="6BB92C94" w:rsidR="0018148A" w:rsidRDefault="00597D09" w:rsidP="008C6498">
            <w:pPr>
              <w:jc w:val="center"/>
            </w:pPr>
            <w:r>
              <w:t>1</w:t>
            </w:r>
          </w:p>
        </w:tc>
      </w:tr>
      <w:tr w:rsidR="00597D09" w14:paraId="5353CB0A" w14:textId="77777777" w:rsidTr="00680F1C">
        <w:tc>
          <w:tcPr>
            <w:tcW w:w="590" w:type="dxa"/>
            <w:vAlign w:val="center"/>
          </w:tcPr>
          <w:p w14:paraId="2172D615" w14:textId="74D87485" w:rsidR="00597D09" w:rsidRDefault="00597D09" w:rsidP="008C6498">
            <w:pPr>
              <w:jc w:val="center"/>
            </w:pPr>
            <w:r>
              <w:t>3</w:t>
            </w:r>
          </w:p>
        </w:tc>
        <w:tc>
          <w:tcPr>
            <w:tcW w:w="5701" w:type="dxa"/>
            <w:vAlign w:val="center"/>
          </w:tcPr>
          <w:p w14:paraId="4D8BB1DB" w14:textId="387B0AA4" w:rsidR="00597D09" w:rsidRDefault="00597D09" w:rsidP="008C6498">
            <w:pPr>
              <w:jc w:val="both"/>
            </w:pPr>
            <w:r>
              <w:t>Bài viết</w:t>
            </w:r>
          </w:p>
        </w:tc>
        <w:tc>
          <w:tcPr>
            <w:tcW w:w="2770" w:type="dxa"/>
            <w:vAlign w:val="center"/>
          </w:tcPr>
          <w:p w14:paraId="0332EA51" w14:textId="6353FB8F" w:rsidR="00597D09" w:rsidRDefault="00597D09" w:rsidP="008C6498">
            <w:pPr>
              <w:jc w:val="center"/>
            </w:pPr>
            <w:r>
              <w:t>3</w:t>
            </w:r>
          </w:p>
        </w:tc>
      </w:tr>
      <w:tr w:rsidR="00597D09" w14:paraId="168E86DC" w14:textId="77777777" w:rsidTr="00680F1C">
        <w:tc>
          <w:tcPr>
            <w:tcW w:w="590" w:type="dxa"/>
            <w:vAlign w:val="center"/>
          </w:tcPr>
          <w:p w14:paraId="10A2AD76" w14:textId="27E68FD1" w:rsidR="00597D09" w:rsidRDefault="00597D09" w:rsidP="008C6498">
            <w:pPr>
              <w:jc w:val="center"/>
            </w:pPr>
            <w:r>
              <w:t>4</w:t>
            </w:r>
          </w:p>
        </w:tc>
        <w:tc>
          <w:tcPr>
            <w:tcW w:w="5701" w:type="dxa"/>
            <w:vAlign w:val="center"/>
          </w:tcPr>
          <w:p w14:paraId="4BE53B6B" w14:textId="2C758843" w:rsidR="00597D09" w:rsidRDefault="00597D09" w:rsidP="008C6498">
            <w:pPr>
              <w:jc w:val="both"/>
            </w:pPr>
            <w:r>
              <w:t>Chương trình toạ đàm, giao lưu phát thanh</w:t>
            </w:r>
          </w:p>
        </w:tc>
        <w:tc>
          <w:tcPr>
            <w:tcW w:w="2770" w:type="dxa"/>
            <w:vAlign w:val="center"/>
          </w:tcPr>
          <w:p w14:paraId="34255083" w14:textId="33F938B3" w:rsidR="00597D09" w:rsidRDefault="00597D09" w:rsidP="008C6498">
            <w:pPr>
              <w:jc w:val="center"/>
            </w:pPr>
            <w:r>
              <w:t>5</w:t>
            </w:r>
          </w:p>
        </w:tc>
      </w:tr>
      <w:tr w:rsidR="00597D09" w14:paraId="4EE726D2" w14:textId="77777777" w:rsidTr="00680F1C">
        <w:tc>
          <w:tcPr>
            <w:tcW w:w="590" w:type="dxa"/>
            <w:vAlign w:val="center"/>
          </w:tcPr>
          <w:p w14:paraId="0DEA2643" w14:textId="14C91424" w:rsidR="00597D09" w:rsidRDefault="00597D09" w:rsidP="008C6498">
            <w:pPr>
              <w:jc w:val="center"/>
            </w:pPr>
            <w:r>
              <w:t>5</w:t>
            </w:r>
          </w:p>
        </w:tc>
        <w:tc>
          <w:tcPr>
            <w:tcW w:w="5701" w:type="dxa"/>
            <w:vAlign w:val="center"/>
          </w:tcPr>
          <w:p w14:paraId="6ACA99AD" w14:textId="5D15F386" w:rsidR="00597D09" w:rsidRDefault="00597D09" w:rsidP="008C6498">
            <w:pPr>
              <w:jc w:val="both"/>
            </w:pPr>
            <w:r>
              <w:t>Đồ hoạ thông tin</w:t>
            </w:r>
            <w:r w:rsidR="00680F1C">
              <w:t xml:space="preserve"> </w:t>
            </w:r>
            <w:r>
              <w:t>(Infographic, Banner</w:t>
            </w:r>
            <w:r w:rsidR="00680F1C">
              <w:t>)</w:t>
            </w:r>
          </w:p>
        </w:tc>
        <w:tc>
          <w:tcPr>
            <w:tcW w:w="2770" w:type="dxa"/>
            <w:vAlign w:val="center"/>
          </w:tcPr>
          <w:p w14:paraId="79766AAB" w14:textId="467482A2" w:rsidR="00597D09" w:rsidRDefault="00597D09" w:rsidP="008C6498">
            <w:pPr>
              <w:jc w:val="center"/>
            </w:pPr>
            <w:r>
              <w:t>1</w:t>
            </w:r>
          </w:p>
        </w:tc>
      </w:tr>
    </w:tbl>
    <w:p w14:paraId="0FF3CE23" w14:textId="380076D0" w:rsidR="00597D09" w:rsidRDefault="00597D09" w:rsidP="00EC3D88">
      <w:pPr>
        <w:spacing w:before="120" w:after="120" w:line="288" w:lineRule="auto"/>
        <w:ind w:firstLine="720"/>
        <w:jc w:val="both"/>
      </w:pPr>
      <w:r w:rsidRPr="00597D09">
        <w:t>2. Giá trị một đơn vị hệ số nhuận bút bằng 10% mức tiền lương cơ sở áp dụng</w:t>
      </w:r>
      <w:r w:rsidR="00EC7198">
        <w:t xml:space="preserve"> </w:t>
      </w:r>
      <w:r w:rsidRPr="00597D09">
        <w:t>cho cán bộ, công chức, viên chức và lực lượng vũ trang (sau đây gọi chung là mức</w:t>
      </w:r>
      <w:r w:rsidR="00EC7198">
        <w:t xml:space="preserve"> </w:t>
      </w:r>
      <w:r w:rsidRPr="00597D09">
        <w:t>tiền lương cơ sở).</w:t>
      </w:r>
    </w:p>
    <w:p w14:paraId="7E4B16FD" w14:textId="77777777" w:rsidR="00597D09" w:rsidRDefault="00597D09" w:rsidP="00EC3D88">
      <w:pPr>
        <w:spacing w:before="120" w:after="120" w:line="288" w:lineRule="auto"/>
        <w:ind w:firstLine="720"/>
        <w:jc w:val="both"/>
      </w:pPr>
      <w:r w:rsidRPr="00597D09">
        <w:t>3. Nhuận bút được tính như sau:</w:t>
      </w:r>
    </w:p>
    <w:p w14:paraId="15EF98F1" w14:textId="77777777" w:rsidR="00D96905" w:rsidRDefault="00597D09" w:rsidP="00EC3D88">
      <w:pPr>
        <w:spacing w:before="120" w:after="120" w:line="288" w:lineRule="auto"/>
        <w:ind w:firstLine="720"/>
        <w:jc w:val="both"/>
      </w:pPr>
      <w:r w:rsidRPr="00597D09">
        <w:t>Nhuận bút = Mức hệ số nhuận bút x Giá trị một đơn vị hệ số nhuận bút.</w:t>
      </w:r>
    </w:p>
    <w:p w14:paraId="67CC1B19" w14:textId="77777777" w:rsidR="00D96905" w:rsidRDefault="00597D09" w:rsidP="00EC3D88">
      <w:pPr>
        <w:spacing w:before="120" w:after="120" w:line="288" w:lineRule="auto"/>
        <w:ind w:firstLine="720"/>
        <w:jc w:val="both"/>
      </w:pPr>
      <w:r w:rsidRPr="00597D09">
        <w:t>4. Tổng số thù lao tối đa không quá 30% tổng số nhuận bút phải trả cho các</w:t>
      </w:r>
      <w:r w:rsidRPr="00597D09">
        <w:br/>
        <w:t>sản phẩm truyền thông trong năm.</w:t>
      </w:r>
    </w:p>
    <w:p w14:paraId="66F533BA" w14:textId="77777777" w:rsidR="00D96905" w:rsidRDefault="00597D09" w:rsidP="00EC3D88">
      <w:pPr>
        <w:spacing w:before="120" w:after="120" w:line="288" w:lineRule="auto"/>
        <w:ind w:firstLine="720"/>
        <w:jc w:val="both"/>
        <w:rPr>
          <w:b/>
          <w:bCs/>
        </w:rPr>
      </w:pPr>
      <w:r w:rsidRPr="00597D09">
        <w:rPr>
          <w:b/>
          <w:bCs/>
        </w:rPr>
        <w:t>Điều 7. Nguồn kinh phí thực hiện</w:t>
      </w:r>
    </w:p>
    <w:p w14:paraId="74911401" w14:textId="6817A6A7" w:rsidR="00D96905" w:rsidRDefault="00597D09" w:rsidP="00EC3D88">
      <w:pPr>
        <w:spacing w:before="120" w:after="120" w:line="288" w:lineRule="auto"/>
        <w:ind w:firstLine="720"/>
        <w:jc w:val="both"/>
      </w:pPr>
      <w:r w:rsidRPr="00597D09">
        <w:t>Kinh phí thực hiện chi trả nhuận bút, thù lao đối với các sản phẩm truyền</w:t>
      </w:r>
      <w:r w:rsidRPr="00597D09">
        <w:br/>
        <w:t xml:space="preserve">thông </w:t>
      </w:r>
      <w:r w:rsidR="00F96404">
        <w:t xml:space="preserve">của </w:t>
      </w:r>
      <w:r w:rsidRPr="00597D09">
        <w:t>cấp xã được bố trí từ nguồn kinh phí chi thường xuyên do ngân sách Nhà nước</w:t>
      </w:r>
      <w:r w:rsidR="00EC7198">
        <w:t xml:space="preserve"> </w:t>
      </w:r>
      <w:r w:rsidRPr="00597D09">
        <w:t>đảm bảo theo phân cấp ngân sách hiện hành; nguồn tài trợ, viện trợ hợp pháp của</w:t>
      </w:r>
      <w:r w:rsidR="00EC7198">
        <w:t xml:space="preserve"> </w:t>
      </w:r>
      <w:r w:rsidRPr="00597D09">
        <w:t>các tổ chức, cá nhân trong và ngoài nước hoặc nguồn xã hội hóa (nếu có).</w:t>
      </w:r>
    </w:p>
    <w:p w14:paraId="4B9DD8F0" w14:textId="77777777" w:rsidR="00D96905" w:rsidRDefault="00597D09" w:rsidP="00EC3D88">
      <w:pPr>
        <w:spacing w:before="120" w:after="120" w:line="288" w:lineRule="auto"/>
        <w:ind w:firstLine="720"/>
        <w:jc w:val="both"/>
        <w:rPr>
          <w:b/>
          <w:bCs/>
        </w:rPr>
      </w:pPr>
      <w:r w:rsidRPr="00597D09">
        <w:rPr>
          <w:b/>
          <w:bCs/>
        </w:rPr>
        <w:t>Điều 8. Điều khoản thi hành</w:t>
      </w:r>
    </w:p>
    <w:p w14:paraId="54C8EB77" w14:textId="24271D75" w:rsidR="00D96905" w:rsidRDefault="00597D09" w:rsidP="00EC3D88">
      <w:pPr>
        <w:spacing w:before="120" w:after="120" w:line="288" w:lineRule="auto"/>
        <w:ind w:firstLine="720"/>
        <w:jc w:val="both"/>
      </w:pPr>
      <w:r w:rsidRPr="00597D09">
        <w:t>Nghị quyết này có hiệu lực thi hành từ</w:t>
      </w:r>
      <w:r w:rsidR="00BA6D33">
        <w:t xml:space="preserve"> ngày ….</w:t>
      </w:r>
      <w:r w:rsidRPr="00597D09">
        <w:t xml:space="preserve"> tháng </w:t>
      </w:r>
      <w:r w:rsidR="00BA6D33">
        <w:t>…</w:t>
      </w:r>
      <w:r w:rsidRPr="00597D09">
        <w:t xml:space="preserve"> năm 2026.</w:t>
      </w:r>
    </w:p>
    <w:p w14:paraId="2AD160B2" w14:textId="77777777" w:rsidR="00D96905" w:rsidRDefault="00597D09" w:rsidP="00EC3D88">
      <w:pPr>
        <w:spacing w:before="120" w:after="120" w:line="288" w:lineRule="auto"/>
        <w:ind w:firstLine="720"/>
        <w:jc w:val="both"/>
        <w:rPr>
          <w:b/>
          <w:bCs/>
        </w:rPr>
      </w:pPr>
      <w:r w:rsidRPr="00597D09">
        <w:rPr>
          <w:b/>
          <w:bCs/>
        </w:rPr>
        <w:t>Điều 9. Tổ chức thực hiện</w:t>
      </w:r>
    </w:p>
    <w:p w14:paraId="6B1C418F" w14:textId="37C83084" w:rsidR="0018148A" w:rsidRDefault="00597D09" w:rsidP="00EC3D88">
      <w:pPr>
        <w:spacing w:before="120" w:after="120" w:line="288" w:lineRule="auto"/>
        <w:ind w:firstLine="720"/>
        <w:jc w:val="both"/>
      </w:pPr>
      <w:r w:rsidRPr="00597D09">
        <w:t xml:space="preserve">1. Giao Ủy ban nhân dân tỉnh tổ chức thực hiện Nghị quyết </w:t>
      </w:r>
      <w:r w:rsidR="00BA6D33">
        <w:t>ngày và báo cáo kết quả thực hiện với Hội đồng nhân dân tỉnh theo quy định</w:t>
      </w:r>
      <w:r w:rsidRPr="00597D09">
        <w:t>.</w:t>
      </w:r>
    </w:p>
    <w:p w14:paraId="7A5A9C88" w14:textId="29349A63" w:rsidR="00D96905" w:rsidRDefault="00EC3D88" w:rsidP="00EC3D88">
      <w:pPr>
        <w:spacing w:before="120" w:after="120" w:line="288" w:lineRule="auto"/>
        <w:ind w:firstLine="720"/>
        <w:jc w:val="both"/>
      </w:pPr>
      <w:r>
        <w:lastRenderedPageBreak/>
        <w:t xml:space="preserve">2. </w:t>
      </w:r>
      <w:r w:rsidR="00D96905" w:rsidRPr="00D96905">
        <w:t>Thường trực Hội đồng nhân dân tỉnh, các Ban Hội đồng nhân dân tỉnh,</w:t>
      </w:r>
      <w:r w:rsidR="00AB406C">
        <w:t xml:space="preserve"> </w:t>
      </w:r>
      <w:r w:rsidR="00D96905" w:rsidRPr="00D96905">
        <w:t>các Tổ đại biểu Hội đồng nhân dân tỉnh và đại biểu Hội đồng nhân dân tỉnh</w:t>
      </w:r>
      <w:r>
        <w:t xml:space="preserve"> có trách nhiệm </w:t>
      </w:r>
      <w:r w:rsidR="00D96905" w:rsidRPr="00D96905">
        <w:t>giám sát việc thực hiện Nghị quyết</w:t>
      </w:r>
      <w:r>
        <w:t xml:space="preserve"> này</w:t>
      </w:r>
      <w:r w:rsidR="00D96905">
        <w:t>.</w:t>
      </w:r>
    </w:p>
    <w:p w14:paraId="44A49356" w14:textId="6608484B" w:rsidR="00AB406C" w:rsidRDefault="00D96905" w:rsidP="002A41CC">
      <w:pPr>
        <w:spacing w:before="120" w:after="240" w:line="288" w:lineRule="auto"/>
        <w:ind w:firstLine="720"/>
        <w:jc w:val="both"/>
        <w:rPr>
          <w:i/>
          <w:iCs/>
        </w:rPr>
      </w:pPr>
      <w:r w:rsidRPr="00FD0E51">
        <w:rPr>
          <w:i/>
          <w:iCs/>
        </w:rPr>
        <w:t>Nghị quyết này đã được Hội đồng nhân dân tỉnh Cao Bằng Khoá</w:t>
      </w:r>
      <w:r w:rsidR="00C95DC0">
        <w:rPr>
          <w:i/>
          <w:iCs/>
        </w:rPr>
        <w:t xml:space="preserve"> </w:t>
      </w:r>
      <w:r w:rsidR="00EC3D88">
        <w:rPr>
          <w:i/>
          <w:iCs/>
        </w:rPr>
        <w:t xml:space="preserve">XVIII </w:t>
      </w:r>
      <w:r w:rsidRPr="00FD0E51">
        <w:rPr>
          <w:i/>
          <w:iCs/>
        </w:rPr>
        <w:t xml:space="preserve">kỳ họp thứ…thông qua ngày </w:t>
      </w:r>
      <w:r w:rsidR="00EC3D88">
        <w:rPr>
          <w:i/>
          <w:iCs/>
        </w:rPr>
        <w:t>…</w:t>
      </w:r>
      <w:r w:rsidRPr="00FD0E51">
        <w:rPr>
          <w:i/>
          <w:iCs/>
        </w:rPr>
        <w:t xml:space="preserve"> tháng ….năm 2025</w:t>
      </w:r>
      <w:r w:rsidR="00FD0E51">
        <w:rPr>
          <w:i/>
          <w:iCs/>
        </w:rPr>
        <w:t>.</w:t>
      </w:r>
    </w:p>
    <w:tbl>
      <w:tblPr>
        <w:tblStyle w:val="LiBang"/>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123"/>
      </w:tblGrid>
      <w:tr w:rsidR="00FD0E51" w:rsidRPr="00FD0E51" w14:paraId="0A695F87" w14:textId="77777777" w:rsidTr="002A41CC">
        <w:trPr>
          <w:trHeight w:val="5922"/>
        </w:trPr>
        <w:tc>
          <w:tcPr>
            <w:tcW w:w="4949" w:type="dxa"/>
          </w:tcPr>
          <w:p w14:paraId="533CF760" w14:textId="77777777" w:rsidR="00FD0E51" w:rsidRPr="00091CC0" w:rsidRDefault="00FD0E51" w:rsidP="00FD0E51">
            <w:pPr>
              <w:jc w:val="both"/>
              <w:rPr>
                <w:b/>
                <w:bCs/>
                <w:i/>
                <w:iCs/>
                <w:sz w:val="24"/>
                <w:szCs w:val="24"/>
              </w:rPr>
            </w:pPr>
            <w:r w:rsidRPr="00091CC0">
              <w:rPr>
                <w:b/>
                <w:bCs/>
                <w:i/>
                <w:iCs/>
                <w:sz w:val="24"/>
                <w:szCs w:val="24"/>
              </w:rPr>
              <w:t>Nơi nhận:</w:t>
            </w:r>
          </w:p>
          <w:p w14:paraId="5035AF67" w14:textId="17F326E6" w:rsidR="00EC3D88" w:rsidRPr="00EC3D88" w:rsidRDefault="00EC3D88" w:rsidP="00EC3D88">
            <w:pPr>
              <w:jc w:val="both"/>
              <w:rPr>
                <w:iCs/>
                <w:sz w:val="22"/>
                <w:szCs w:val="24"/>
              </w:rPr>
            </w:pPr>
            <w:r>
              <w:rPr>
                <w:iCs/>
                <w:sz w:val="22"/>
                <w:szCs w:val="24"/>
              </w:rPr>
              <w:t xml:space="preserve">- </w:t>
            </w:r>
            <w:r w:rsidRPr="00EC3D88">
              <w:rPr>
                <w:iCs/>
                <w:sz w:val="22"/>
                <w:szCs w:val="24"/>
              </w:rPr>
              <w:t>Ủy ban Thường vụ Quốc hội;</w:t>
            </w:r>
          </w:p>
          <w:p w14:paraId="3696CF85" w14:textId="77777777" w:rsidR="00EC3D88" w:rsidRPr="00EC3D88" w:rsidRDefault="00EC3D88" w:rsidP="00EC3D88">
            <w:pPr>
              <w:jc w:val="both"/>
              <w:rPr>
                <w:iCs/>
                <w:sz w:val="22"/>
                <w:szCs w:val="24"/>
              </w:rPr>
            </w:pPr>
            <w:r w:rsidRPr="00EC3D88">
              <w:rPr>
                <w:iCs/>
                <w:sz w:val="22"/>
                <w:szCs w:val="24"/>
              </w:rPr>
              <w:t>- Chính phủ;</w:t>
            </w:r>
          </w:p>
          <w:p w14:paraId="52A3F7A2" w14:textId="77777777" w:rsidR="00EC3D88" w:rsidRPr="00EC3D88" w:rsidRDefault="00EC3D88" w:rsidP="00EC3D88">
            <w:pPr>
              <w:jc w:val="both"/>
              <w:rPr>
                <w:iCs/>
                <w:sz w:val="22"/>
                <w:szCs w:val="24"/>
              </w:rPr>
            </w:pPr>
            <w:r w:rsidRPr="00EC3D88">
              <w:rPr>
                <w:iCs/>
                <w:sz w:val="22"/>
                <w:szCs w:val="24"/>
              </w:rPr>
              <w:t>- Văn phòng Quốc hội;</w:t>
            </w:r>
          </w:p>
          <w:p w14:paraId="775FE547" w14:textId="77777777" w:rsidR="00EC3D88" w:rsidRPr="00EC3D88" w:rsidRDefault="00EC3D88" w:rsidP="00EC3D88">
            <w:pPr>
              <w:jc w:val="both"/>
              <w:rPr>
                <w:iCs/>
                <w:sz w:val="22"/>
                <w:szCs w:val="24"/>
              </w:rPr>
            </w:pPr>
            <w:r w:rsidRPr="00EC3D88">
              <w:rPr>
                <w:iCs/>
                <w:sz w:val="22"/>
                <w:szCs w:val="24"/>
              </w:rPr>
              <w:t>- Văn phòng Chính phủ;</w:t>
            </w:r>
          </w:p>
          <w:p w14:paraId="34EBD66C" w14:textId="77777777" w:rsidR="00EC3D88" w:rsidRPr="00EC3D88" w:rsidRDefault="00EC3D88" w:rsidP="00EC3D88">
            <w:pPr>
              <w:jc w:val="both"/>
              <w:rPr>
                <w:iCs/>
                <w:sz w:val="22"/>
                <w:szCs w:val="24"/>
              </w:rPr>
            </w:pPr>
            <w:r w:rsidRPr="00EC3D88">
              <w:rPr>
                <w:iCs/>
                <w:sz w:val="22"/>
                <w:szCs w:val="24"/>
              </w:rPr>
              <w:t>- Các Bộ: Tư pháp, Tài chính, Giáo dục và Đào tạo;</w:t>
            </w:r>
          </w:p>
          <w:p w14:paraId="568DAA00" w14:textId="77777777" w:rsidR="00EC3D88" w:rsidRPr="00EC3D88" w:rsidRDefault="00EC3D88" w:rsidP="00EC3D88">
            <w:pPr>
              <w:jc w:val="both"/>
              <w:rPr>
                <w:iCs/>
                <w:sz w:val="22"/>
                <w:szCs w:val="24"/>
              </w:rPr>
            </w:pPr>
            <w:r w:rsidRPr="00EC3D88">
              <w:rPr>
                <w:iCs/>
                <w:sz w:val="22"/>
                <w:szCs w:val="24"/>
              </w:rPr>
              <w:t>- Cục Kiểm tra văn bản QPPL - Bộ Tư pháp;</w:t>
            </w:r>
          </w:p>
          <w:p w14:paraId="13BFA7C1" w14:textId="77777777" w:rsidR="00EC3D88" w:rsidRPr="00EC3D88" w:rsidRDefault="00EC3D88" w:rsidP="00EC3D88">
            <w:pPr>
              <w:jc w:val="both"/>
              <w:rPr>
                <w:iCs/>
                <w:sz w:val="22"/>
                <w:szCs w:val="24"/>
              </w:rPr>
            </w:pPr>
            <w:r w:rsidRPr="00EC3D88">
              <w:rPr>
                <w:iCs/>
                <w:sz w:val="22"/>
                <w:szCs w:val="24"/>
              </w:rPr>
              <w:t>- Vụ Pháp chế - Bộ Giáo dục và Đào tạo;</w:t>
            </w:r>
          </w:p>
          <w:p w14:paraId="3A936437" w14:textId="77777777" w:rsidR="00EC3D88" w:rsidRPr="00EC3D88" w:rsidRDefault="00EC3D88" w:rsidP="00EC3D88">
            <w:pPr>
              <w:jc w:val="both"/>
              <w:rPr>
                <w:iCs/>
                <w:sz w:val="22"/>
                <w:szCs w:val="24"/>
              </w:rPr>
            </w:pPr>
            <w:r w:rsidRPr="00EC3D88">
              <w:rPr>
                <w:iCs/>
                <w:sz w:val="22"/>
                <w:szCs w:val="24"/>
              </w:rPr>
              <w:t>- Thường trực Tỉnh ủy;</w:t>
            </w:r>
          </w:p>
          <w:p w14:paraId="4378684C" w14:textId="77777777" w:rsidR="00EC3D88" w:rsidRPr="00EC3D88" w:rsidRDefault="00EC3D88" w:rsidP="00EC3D88">
            <w:pPr>
              <w:jc w:val="both"/>
              <w:rPr>
                <w:iCs/>
                <w:sz w:val="22"/>
                <w:szCs w:val="24"/>
              </w:rPr>
            </w:pPr>
            <w:r w:rsidRPr="00EC3D88">
              <w:rPr>
                <w:iCs/>
                <w:sz w:val="22"/>
                <w:szCs w:val="24"/>
              </w:rPr>
              <w:t>- Thường trực HĐND tỉnh;</w:t>
            </w:r>
          </w:p>
          <w:p w14:paraId="7D460F09" w14:textId="77777777" w:rsidR="00EC3D88" w:rsidRPr="00EC3D88" w:rsidRDefault="00EC3D88" w:rsidP="00EC3D88">
            <w:pPr>
              <w:jc w:val="both"/>
              <w:rPr>
                <w:iCs/>
                <w:sz w:val="22"/>
                <w:szCs w:val="24"/>
              </w:rPr>
            </w:pPr>
            <w:r w:rsidRPr="00EC3D88">
              <w:rPr>
                <w:iCs/>
                <w:sz w:val="22"/>
                <w:szCs w:val="24"/>
              </w:rPr>
              <w:t>- Ủy ban nhân dân tỉnh;</w:t>
            </w:r>
          </w:p>
          <w:p w14:paraId="03BBCDE6" w14:textId="77777777" w:rsidR="00EC3D88" w:rsidRPr="00EC3D88" w:rsidRDefault="00EC3D88" w:rsidP="00EC3D88">
            <w:pPr>
              <w:jc w:val="both"/>
              <w:rPr>
                <w:iCs/>
                <w:sz w:val="22"/>
                <w:szCs w:val="24"/>
              </w:rPr>
            </w:pPr>
            <w:r w:rsidRPr="00EC3D88">
              <w:rPr>
                <w:iCs/>
                <w:sz w:val="22"/>
                <w:szCs w:val="24"/>
              </w:rPr>
              <w:t>- Ủy ban MTTQ Việt Nam tỉnh;</w:t>
            </w:r>
          </w:p>
          <w:p w14:paraId="56D6AD52" w14:textId="77777777" w:rsidR="00EC3D88" w:rsidRPr="00EC3D88" w:rsidRDefault="00EC3D88" w:rsidP="00EC3D88">
            <w:pPr>
              <w:jc w:val="both"/>
              <w:rPr>
                <w:iCs/>
                <w:sz w:val="22"/>
                <w:szCs w:val="24"/>
              </w:rPr>
            </w:pPr>
            <w:r w:rsidRPr="00EC3D88">
              <w:rPr>
                <w:iCs/>
                <w:sz w:val="22"/>
                <w:szCs w:val="24"/>
              </w:rPr>
              <w:t>- Đoàn đại biểu Quốc hội tỉnh;</w:t>
            </w:r>
          </w:p>
          <w:p w14:paraId="04C4088C" w14:textId="77777777" w:rsidR="00EC3D88" w:rsidRPr="00EC3D88" w:rsidRDefault="00EC3D88" w:rsidP="00EC3D88">
            <w:pPr>
              <w:jc w:val="both"/>
              <w:rPr>
                <w:iCs/>
                <w:sz w:val="22"/>
                <w:szCs w:val="24"/>
              </w:rPr>
            </w:pPr>
            <w:r w:rsidRPr="00EC3D88">
              <w:rPr>
                <w:iCs/>
                <w:sz w:val="22"/>
                <w:szCs w:val="24"/>
              </w:rPr>
              <w:t>- Các đại biểu HĐND tỉnh;</w:t>
            </w:r>
          </w:p>
          <w:p w14:paraId="6F888998" w14:textId="77777777" w:rsidR="00EC3D88" w:rsidRPr="00EC3D88" w:rsidRDefault="00EC3D88" w:rsidP="00EC3D88">
            <w:pPr>
              <w:jc w:val="both"/>
              <w:rPr>
                <w:iCs/>
                <w:sz w:val="22"/>
                <w:szCs w:val="24"/>
              </w:rPr>
            </w:pPr>
            <w:r w:rsidRPr="00EC3D88">
              <w:rPr>
                <w:iCs/>
                <w:sz w:val="22"/>
                <w:szCs w:val="24"/>
              </w:rPr>
              <w:t>- Các sở, ban, ngành, đoàn thể cấp tỉnh;</w:t>
            </w:r>
          </w:p>
          <w:p w14:paraId="641388E6" w14:textId="77777777" w:rsidR="00EC3D88" w:rsidRPr="00EC3D88" w:rsidRDefault="00EC3D88" w:rsidP="00EC3D88">
            <w:pPr>
              <w:jc w:val="both"/>
              <w:rPr>
                <w:iCs/>
                <w:sz w:val="22"/>
                <w:szCs w:val="24"/>
              </w:rPr>
            </w:pPr>
            <w:r w:rsidRPr="00EC3D88">
              <w:rPr>
                <w:iCs/>
                <w:sz w:val="22"/>
                <w:szCs w:val="24"/>
              </w:rPr>
              <w:t>- Đảng ủy, TT HĐND, UBND các xã, phường;</w:t>
            </w:r>
          </w:p>
          <w:p w14:paraId="5C77C2FC" w14:textId="77777777" w:rsidR="00EC3D88" w:rsidRPr="00EC3D88" w:rsidRDefault="00EC3D88" w:rsidP="00EC3D88">
            <w:pPr>
              <w:jc w:val="both"/>
              <w:rPr>
                <w:iCs/>
                <w:sz w:val="22"/>
                <w:szCs w:val="24"/>
              </w:rPr>
            </w:pPr>
            <w:r w:rsidRPr="00EC3D88">
              <w:rPr>
                <w:iCs/>
                <w:sz w:val="22"/>
                <w:szCs w:val="24"/>
              </w:rPr>
              <w:t>- Trung tâm thông tin - Văn phòng UBND tỉnh;</w:t>
            </w:r>
          </w:p>
          <w:p w14:paraId="60417EF9" w14:textId="7542D9B2" w:rsidR="00AB406C" w:rsidRPr="00EC3D88" w:rsidRDefault="00EC3D88" w:rsidP="00EC3D88">
            <w:pPr>
              <w:jc w:val="both"/>
              <w:rPr>
                <w:rStyle w:val="fontstyle01"/>
                <w:szCs w:val="24"/>
              </w:rPr>
            </w:pPr>
            <w:r w:rsidRPr="00EC3D88">
              <w:rPr>
                <w:iCs/>
                <w:sz w:val="22"/>
                <w:szCs w:val="24"/>
              </w:rPr>
              <w:t>- Lưu: VT.</w:t>
            </w:r>
          </w:p>
          <w:p w14:paraId="08E6F405" w14:textId="7C1E0692" w:rsidR="00347FB2" w:rsidRPr="00091CC0" w:rsidRDefault="00347FB2" w:rsidP="00FD0E51">
            <w:pPr>
              <w:jc w:val="both"/>
              <w:rPr>
                <w:sz w:val="24"/>
                <w:szCs w:val="24"/>
              </w:rPr>
            </w:pPr>
          </w:p>
          <w:p w14:paraId="7EE48974" w14:textId="14DAAC69" w:rsidR="00347FB2" w:rsidRPr="00FD0E51" w:rsidRDefault="00347FB2" w:rsidP="00FD0E51">
            <w:pPr>
              <w:jc w:val="both"/>
              <w:rPr>
                <w:sz w:val="24"/>
                <w:szCs w:val="18"/>
              </w:rPr>
            </w:pPr>
          </w:p>
        </w:tc>
        <w:tc>
          <w:tcPr>
            <w:tcW w:w="4123" w:type="dxa"/>
          </w:tcPr>
          <w:p w14:paraId="7071EA50" w14:textId="77777777" w:rsidR="00FD0E51" w:rsidRPr="00091CC0" w:rsidRDefault="00AB406C" w:rsidP="00AB406C">
            <w:pPr>
              <w:spacing w:before="120"/>
              <w:jc w:val="center"/>
              <w:rPr>
                <w:b/>
                <w:bCs/>
                <w:szCs w:val="28"/>
              </w:rPr>
            </w:pPr>
            <w:r w:rsidRPr="00091CC0">
              <w:rPr>
                <w:b/>
                <w:bCs/>
                <w:szCs w:val="28"/>
              </w:rPr>
              <w:t>CHỦ TỊCH</w:t>
            </w:r>
          </w:p>
          <w:p w14:paraId="1FA9DF86" w14:textId="77777777" w:rsidR="00AB406C" w:rsidRPr="00091CC0" w:rsidRDefault="00AB406C" w:rsidP="00AB406C">
            <w:pPr>
              <w:spacing w:before="120"/>
              <w:jc w:val="center"/>
              <w:rPr>
                <w:b/>
                <w:bCs/>
                <w:szCs w:val="28"/>
              </w:rPr>
            </w:pPr>
          </w:p>
          <w:p w14:paraId="7A5B32F3" w14:textId="77777777" w:rsidR="00AB406C" w:rsidRPr="00091CC0" w:rsidRDefault="00AB406C" w:rsidP="00AB406C">
            <w:pPr>
              <w:spacing w:before="120"/>
              <w:jc w:val="center"/>
              <w:rPr>
                <w:b/>
                <w:bCs/>
                <w:szCs w:val="28"/>
              </w:rPr>
            </w:pPr>
          </w:p>
          <w:p w14:paraId="546D5EBE" w14:textId="77777777" w:rsidR="00AB406C" w:rsidRPr="00091CC0" w:rsidRDefault="00AB406C" w:rsidP="00AB406C">
            <w:pPr>
              <w:spacing w:before="120"/>
              <w:jc w:val="center"/>
              <w:rPr>
                <w:b/>
                <w:bCs/>
                <w:szCs w:val="28"/>
              </w:rPr>
            </w:pPr>
          </w:p>
          <w:p w14:paraId="05EB5D81" w14:textId="77777777" w:rsidR="00AB406C" w:rsidRPr="00091CC0" w:rsidRDefault="00AB406C" w:rsidP="00AB406C">
            <w:pPr>
              <w:spacing w:before="120"/>
              <w:jc w:val="center"/>
              <w:rPr>
                <w:b/>
                <w:bCs/>
                <w:szCs w:val="28"/>
              </w:rPr>
            </w:pPr>
          </w:p>
          <w:p w14:paraId="0513D4C1" w14:textId="5101F149" w:rsidR="00AB406C" w:rsidRPr="00091CC0" w:rsidRDefault="00AB406C" w:rsidP="00AB406C">
            <w:pPr>
              <w:spacing w:before="120"/>
              <w:jc w:val="center"/>
              <w:rPr>
                <w:b/>
                <w:bCs/>
                <w:szCs w:val="28"/>
              </w:rPr>
            </w:pPr>
            <w:r w:rsidRPr="00091CC0">
              <w:rPr>
                <w:b/>
                <w:bCs/>
                <w:szCs w:val="28"/>
              </w:rPr>
              <w:t>Bế Thanh Tịnh</w:t>
            </w:r>
          </w:p>
          <w:p w14:paraId="719B98EA" w14:textId="77777777" w:rsidR="00AB406C" w:rsidRPr="00091CC0" w:rsidRDefault="00AB406C" w:rsidP="00AB406C">
            <w:pPr>
              <w:spacing w:before="120"/>
              <w:jc w:val="center"/>
              <w:rPr>
                <w:b/>
                <w:bCs/>
                <w:szCs w:val="28"/>
              </w:rPr>
            </w:pPr>
          </w:p>
          <w:p w14:paraId="17231D93" w14:textId="77777777" w:rsidR="00AB406C" w:rsidRPr="00AB406C" w:rsidRDefault="00AB406C" w:rsidP="00AB406C">
            <w:pPr>
              <w:spacing w:before="120"/>
              <w:jc w:val="center"/>
              <w:rPr>
                <w:b/>
                <w:bCs/>
                <w:sz w:val="24"/>
                <w:szCs w:val="18"/>
              </w:rPr>
            </w:pPr>
          </w:p>
          <w:p w14:paraId="57EFE595" w14:textId="77777777" w:rsidR="00AB406C" w:rsidRPr="00AB406C" w:rsidRDefault="00AB406C" w:rsidP="00AB406C">
            <w:pPr>
              <w:spacing w:before="120"/>
              <w:jc w:val="center"/>
              <w:rPr>
                <w:b/>
                <w:bCs/>
                <w:sz w:val="24"/>
                <w:szCs w:val="18"/>
              </w:rPr>
            </w:pPr>
          </w:p>
          <w:p w14:paraId="33B6CEE3" w14:textId="77777777" w:rsidR="00AB406C" w:rsidRDefault="00AB406C" w:rsidP="0018148A">
            <w:pPr>
              <w:spacing w:before="120"/>
              <w:jc w:val="both"/>
              <w:rPr>
                <w:i/>
                <w:iCs/>
                <w:sz w:val="24"/>
                <w:szCs w:val="18"/>
              </w:rPr>
            </w:pPr>
          </w:p>
          <w:p w14:paraId="207A2EFD" w14:textId="191BEB2B" w:rsidR="00AB406C" w:rsidRPr="00FD0E51" w:rsidRDefault="00AB406C" w:rsidP="0018148A">
            <w:pPr>
              <w:spacing w:before="120"/>
              <w:jc w:val="both"/>
              <w:rPr>
                <w:i/>
                <w:iCs/>
                <w:sz w:val="24"/>
                <w:szCs w:val="18"/>
              </w:rPr>
            </w:pPr>
          </w:p>
        </w:tc>
      </w:tr>
    </w:tbl>
    <w:p w14:paraId="1FA87BF2" w14:textId="77777777" w:rsidR="00FD0E51" w:rsidRPr="0018148A" w:rsidRDefault="00FD0E51" w:rsidP="0018148A">
      <w:pPr>
        <w:spacing w:before="120" w:after="0" w:line="240" w:lineRule="auto"/>
        <w:ind w:firstLine="720"/>
        <w:jc w:val="both"/>
        <w:rPr>
          <w:i/>
          <w:iCs/>
          <w:sz w:val="24"/>
          <w:szCs w:val="18"/>
        </w:rPr>
      </w:pPr>
    </w:p>
    <w:sectPr w:rsidR="00FD0E51" w:rsidRPr="0018148A" w:rsidSect="00EC3D88">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02FD" w14:textId="77777777" w:rsidR="002944B5" w:rsidRDefault="002944B5" w:rsidP="00AB406C">
      <w:pPr>
        <w:spacing w:after="0" w:line="240" w:lineRule="auto"/>
      </w:pPr>
      <w:r>
        <w:separator/>
      </w:r>
    </w:p>
  </w:endnote>
  <w:endnote w:type="continuationSeparator" w:id="0">
    <w:p w14:paraId="18615E93" w14:textId="77777777" w:rsidR="002944B5" w:rsidRDefault="002944B5" w:rsidP="00AB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E78F" w14:textId="77777777" w:rsidR="002944B5" w:rsidRDefault="002944B5" w:rsidP="00AB406C">
      <w:pPr>
        <w:spacing w:after="0" w:line="240" w:lineRule="auto"/>
      </w:pPr>
      <w:r>
        <w:separator/>
      </w:r>
    </w:p>
  </w:footnote>
  <w:footnote w:type="continuationSeparator" w:id="0">
    <w:p w14:paraId="1D31EE10" w14:textId="77777777" w:rsidR="002944B5" w:rsidRDefault="002944B5" w:rsidP="00AB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06611"/>
      <w:docPartObj>
        <w:docPartGallery w:val="Page Numbers (Top of Page)"/>
        <w:docPartUnique/>
      </w:docPartObj>
    </w:sdtPr>
    <w:sdtEndPr>
      <w:rPr>
        <w:noProof/>
      </w:rPr>
    </w:sdtEndPr>
    <w:sdtContent>
      <w:p w14:paraId="45D22336" w14:textId="73A6C5AB" w:rsidR="00AB406C" w:rsidRDefault="00AB406C">
        <w:pPr>
          <w:pStyle w:val="utrang"/>
          <w:jc w:val="center"/>
        </w:pPr>
        <w:r>
          <w:fldChar w:fldCharType="begin"/>
        </w:r>
        <w:r>
          <w:instrText xml:space="preserve"> PAGE   \* MERGEFORMAT </w:instrText>
        </w:r>
        <w:r>
          <w:fldChar w:fldCharType="separate"/>
        </w:r>
        <w:r w:rsidR="000A74DA">
          <w:rPr>
            <w:noProof/>
          </w:rPr>
          <w:t>4</w:t>
        </w:r>
        <w:r>
          <w:rPr>
            <w:noProof/>
          </w:rPr>
          <w:fldChar w:fldCharType="end"/>
        </w:r>
      </w:p>
    </w:sdtContent>
  </w:sdt>
  <w:p w14:paraId="0966DA18" w14:textId="77777777" w:rsidR="00AB406C" w:rsidRDefault="00AB406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43E3"/>
    <w:multiLevelType w:val="hybridMultilevel"/>
    <w:tmpl w:val="4ECE8938"/>
    <w:lvl w:ilvl="0" w:tplc="07000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733D56"/>
    <w:multiLevelType w:val="hybridMultilevel"/>
    <w:tmpl w:val="27D6A8FC"/>
    <w:lvl w:ilvl="0" w:tplc="48545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18249">
    <w:abstractNumId w:val="1"/>
  </w:num>
  <w:num w:numId="2" w16cid:durableId="5770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25"/>
    <w:rsid w:val="000526D0"/>
    <w:rsid w:val="00080963"/>
    <w:rsid w:val="00091CC0"/>
    <w:rsid w:val="000A74DA"/>
    <w:rsid w:val="000F33C4"/>
    <w:rsid w:val="0018148A"/>
    <w:rsid w:val="001C031B"/>
    <w:rsid w:val="001D6C4C"/>
    <w:rsid w:val="002842BB"/>
    <w:rsid w:val="0028532B"/>
    <w:rsid w:val="002944B5"/>
    <w:rsid w:val="002A41CC"/>
    <w:rsid w:val="0030601E"/>
    <w:rsid w:val="00340E99"/>
    <w:rsid w:val="00347FB2"/>
    <w:rsid w:val="00442DD2"/>
    <w:rsid w:val="00577A16"/>
    <w:rsid w:val="00597D09"/>
    <w:rsid w:val="005B6F98"/>
    <w:rsid w:val="005D48E8"/>
    <w:rsid w:val="0061005D"/>
    <w:rsid w:val="00680F1C"/>
    <w:rsid w:val="006C3AB9"/>
    <w:rsid w:val="006F24D8"/>
    <w:rsid w:val="0070289D"/>
    <w:rsid w:val="007B7F69"/>
    <w:rsid w:val="00840481"/>
    <w:rsid w:val="008415BA"/>
    <w:rsid w:val="008C6498"/>
    <w:rsid w:val="008D17DF"/>
    <w:rsid w:val="00954AB9"/>
    <w:rsid w:val="0098273D"/>
    <w:rsid w:val="00A51B4F"/>
    <w:rsid w:val="00AB406C"/>
    <w:rsid w:val="00AC576E"/>
    <w:rsid w:val="00B0433C"/>
    <w:rsid w:val="00B8393A"/>
    <w:rsid w:val="00BA6D33"/>
    <w:rsid w:val="00C001E1"/>
    <w:rsid w:val="00C41AFE"/>
    <w:rsid w:val="00C71903"/>
    <w:rsid w:val="00C95DC0"/>
    <w:rsid w:val="00CF07D6"/>
    <w:rsid w:val="00CF1125"/>
    <w:rsid w:val="00D27F00"/>
    <w:rsid w:val="00D52C4A"/>
    <w:rsid w:val="00D62551"/>
    <w:rsid w:val="00D96905"/>
    <w:rsid w:val="00EC3D88"/>
    <w:rsid w:val="00EC7198"/>
    <w:rsid w:val="00EF2FC7"/>
    <w:rsid w:val="00F36216"/>
    <w:rsid w:val="00F8215B"/>
    <w:rsid w:val="00F96404"/>
    <w:rsid w:val="00FA0C19"/>
    <w:rsid w:val="00FD0E51"/>
    <w:rsid w:val="00FE4E59"/>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5E64"/>
  <w15:chartTrackingRefBased/>
  <w15:docId w15:val="{10A3E3E2-7BC4-461E-A7D6-301D8534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CF1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CF1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F112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CF11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CF112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CF11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F112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F112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F112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F112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F112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F1125"/>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CF1125"/>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F1125"/>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F112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F112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F112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F112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F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F112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F1125"/>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CF112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F112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F1125"/>
    <w:rPr>
      <w:i/>
      <w:iCs/>
      <w:color w:val="404040" w:themeColor="text1" w:themeTint="BF"/>
    </w:rPr>
  </w:style>
  <w:style w:type="paragraph" w:styleId="oancuaDanhsach">
    <w:name w:val="List Paragraph"/>
    <w:basedOn w:val="Binhthng"/>
    <w:uiPriority w:val="34"/>
    <w:qFormat/>
    <w:rsid w:val="00CF1125"/>
    <w:pPr>
      <w:ind w:left="720"/>
      <w:contextualSpacing/>
    </w:pPr>
  </w:style>
  <w:style w:type="character" w:styleId="NhnmnhThm">
    <w:name w:val="Intense Emphasis"/>
    <w:basedOn w:val="Phngmcinhcuaoanvn"/>
    <w:uiPriority w:val="21"/>
    <w:qFormat/>
    <w:rsid w:val="00CF1125"/>
    <w:rPr>
      <w:i/>
      <w:iCs/>
      <w:color w:val="2F5496" w:themeColor="accent1" w:themeShade="BF"/>
    </w:rPr>
  </w:style>
  <w:style w:type="paragraph" w:styleId="Nhaykepm">
    <w:name w:val="Intense Quote"/>
    <w:basedOn w:val="Binhthng"/>
    <w:next w:val="Binhthng"/>
    <w:link w:val="NhaykepmChar"/>
    <w:uiPriority w:val="30"/>
    <w:qFormat/>
    <w:rsid w:val="00CF1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CF1125"/>
    <w:rPr>
      <w:i/>
      <w:iCs/>
      <w:color w:val="2F5496" w:themeColor="accent1" w:themeShade="BF"/>
    </w:rPr>
  </w:style>
  <w:style w:type="character" w:styleId="ThamchiuNhnmnh">
    <w:name w:val="Intense Reference"/>
    <w:basedOn w:val="Phngmcinhcuaoanvn"/>
    <w:uiPriority w:val="32"/>
    <w:qFormat/>
    <w:rsid w:val="00CF1125"/>
    <w:rPr>
      <w:b/>
      <w:bCs/>
      <w:smallCaps/>
      <w:color w:val="2F5496" w:themeColor="accent1" w:themeShade="BF"/>
      <w:spacing w:val="5"/>
    </w:rPr>
  </w:style>
  <w:style w:type="table" w:styleId="LiBang">
    <w:name w:val="Table Grid"/>
    <w:basedOn w:val="BangThngthng"/>
    <w:uiPriority w:val="39"/>
    <w:rsid w:val="00C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347FB2"/>
    <w:rPr>
      <w:rFonts w:ascii="Times New Roman" w:hAnsi="Times New Roman" w:cs="Times New Roman" w:hint="default"/>
      <w:b w:val="0"/>
      <w:bCs w:val="0"/>
      <w:i w:val="0"/>
      <w:iCs w:val="0"/>
      <w:color w:val="000000"/>
      <w:sz w:val="22"/>
      <w:szCs w:val="22"/>
    </w:rPr>
  </w:style>
  <w:style w:type="paragraph" w:styleId="utrang">
    <w:name w:val="header"/>
    <w:basedOn w:val="Binhthng"/>
    <w:link w:val="utrangChar"/>
    <w:uiPriority w:val="99"/>
    <w:unhideWhenUsed/>
    <w:rsid w:val="00AB406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B406C"/>
  </w:style>
  <w:style w:type="paragraph" w:styleId="Chntrang">
    <w:name w:val="footer"/>
    <w:basedOn w:val="Binhthng"/>
    <w:link w:val="ChntrangChar"/>
    <w:uiPriority w:val="99"/>
    <w:unhideWhenUsed/>
    <w:rsid w:val="00AB406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B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40659">
      <w:bodyDiv w:val="1"/>
      <w:marLeft w:val="0"/>
      <w:marRight w:val="0"/>
      <w:marTop w:val="0"/>
      <w:marBottom w:val="0"/>
      <w:divBdr>
        <w:top w:val="none" w:sz="0" w:space="0" w:color="auto"/>
        <w:left w:val="none" w:sz="0" w:space="0" w:color="auto"/>
        <w:bottom w:val="none" w:sz="0" w:space="0" w:color="auto"/>
        <w:right w:val="none" w:sz="0" w:space="0" w:color="auto"/>
      </w:divBdr>
    </w:div>
    <w:div w:id="498544410">
      <w:bodyDiv w:val="1"/>
      <w:marLeft w:val="0"/>
      <w:marRight w:val="0"/>
      <w:marTop w:val="0"/>
      <w:marBottom w:val="0"/>
      <w:divBdr>
        <w:top w:val="none" w:sz="0" w:space="0" w:color="auto"/>
        <w:left w:val="none" w:sz="0" w:space="0" w:color="auto"/>
        <w:bottom w:val="none" w:sz="0" w:space="0" w:color="auto"/>
        <w:right w:val="none" w:sz="0" w:space="0" w:color="auto"/>
      </w:divBdr>
    </w:div>
    <w:div w:id="8068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10</cp:lastModifiedBy>
  <cp:revision>21</cp:revision>
  <dcterms:created xsi:type="dcterms:W3CDTF">2025-10-15T03:51:00Z</dcterms:created>
  <dcterms:modified xsi:type="dcterms:W3CDTF">2025-10-16T07:39:00Z</dcterms:modified>
</cp:coreProperties>
</file>